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4D42A" w14:textId="77777777" w:rsidR="008027E6" w:rsidRDefault="008027E6">
      <w:pPr>
        <w:rPr>
          <w:b/>
          <w:sz w:val="24"/>
          <w:szCs w:val="24"/>
        </w:rPr>
      </w:pPr>
      <w:bookmarkStart w:id="0" w:name="_GoBack"/>
      <w:bookmarkEnd w:id="0"/>
    </w:p>
    <w:p w14:paraId="040C4832" w14:textId="77777777" w:rsidR="001669EC" w:rsidRDefault="00CA5A99" w:rsidP="008714AC">
      <w:pPr>
        <w:jc w:val="both"/>
        <w:rPr>
          <w:i/>
        </w:rPr>
      </w:pPr>
      <w:r>
        <w:rPr>
          <w:i/>
        </w:rPr>
        <w:t>L</w:t>
      </w:r>
      <w:commentRangeStart w:id="1"/>
      <w:r w:rsidR="00B56187" w:rsidRPr="00934445">
        <w:rPr>
          <w:i/>
        </w:rPr>
        <w:t>’organis</w:t>
      </w:r>
      <w:commentRangeEnd w:id="1"/>
      <w:r w:rsidR="001F6F43">
        <w:rPr>
          <w:rStyle w:val="Marquedecommentaire"/>
        </w:rPr>
        <w:commentReference w:id="1"/>
      </w:r>
      <w:r w:rsidR="00B56187" w:rsidRPr="00934445">
        <w:rPr>
          <w:i/>
        </w:rPr>
        <w:t xml:space="preserve">me public </w:t>
      </w:r>
      <w:r w:rsidR="006A5373" w:rsidRPr="00934445">
        <w:rPr>
          <w:i/>
        </w:rPr>
        <w:t>doit</w:t>
      </w:r>
      <w:r w:rsidR="001A1AA0">
        <w:rPr>
          <w:i/>
        </w:rPr>
        <w:t>,</w:t>
      </w:r>
      <w:r w:rsidR="001A1AA0" w:rsidRPr="001A1AA0">
        <w:rPr>
          <w:i/>
        </w:rPr>
        <w:t xml:space="preserve"> </w:t>
      </w:r>
      <w:r w:rsidR="001A1AA0" w:rsidRPr="00934445">
        <w:rPr>
          <w:i/>
        </w:rPr>
        <w:t>depuis le 1</w:t>
      </w:r>
      <w:r w:rsidR="001A1AA0" w:rsidRPr="00934445">
        <w:rPr>
          <w:i/>
          <w:vertAlign w:val="superscript"/>
        </w:rPr>
        <w:t>er</w:t>
      </w:r>
      <w:r w:rsidR="001A1AA0" w:rsidRPr="00934445">
        <w:rPr>
          <w:i/>
        </w:rPr>
        <w:t xml:space="preserve"> juin 2016,</w:t>
      </w:r>
      <w:r w:rsidR="001A1AA0">
        <w:rPr>
          <w:i/>
        </w:rPr>
        <w:t xml:space="preserve"> en vertu de</w:t>
      </w:r>
      <w:r w:rsidR="000B5E7D">
        <w:rPr>
          <w:i/>
        </w:rPr>
        <w:t xml:space="preserve"> l’</w:t>
      </w:r>
      <w:r w:rsidR="001A1AA0">
        <w:rPr>
          <w:i/>
        </w:rPr>
        <w:t>article</w:t>
      </w:r>
      <w:r w:rsidR="00060512">
        <w:rPr>
          <w:i/>
        </w:rPr>
        <w:t> </w:t>
      </w:r>
      <w:r w:rsidR="001A1AA0">
        <w:rPr>
          <w:i/>
        </w:rPr>
        <w:t>79 du Règlement sur les contrats des organismes publics en matière de technologies de l’information</w:t>
      </w:r>
      <w:r w:rsidR="00A14472">
        <w:rPr>
          <w:i/>
        </w:rPr>
        <w:t xml:space="preserve"> (RCTI)</w:t>
      </w:r>
      <w:r w:rsidR="000B5E7D">
        <w:rPr>
          <w:i/>
        </w:rPr>
        <w:t>,</w:t>
      </w:r>
      <w:r w:rsidR="001A1AA0" w:rsidRPr="00934445">
        <w:rPr>
          <w:i/>
        </w:rPr>
        <w:t xml:space="preserve"> </w:t>
      </w:r>
      <w:r w:rsidR="006A5373" w:rsidRPr="00934445">
        <w:rPr>
          <w:i/>
        </w:rPr>
        <w:t>consigner dans un rapport l’évaluation du prestataire de services, lorsque le montant total payé pour un contrat en matière de technologies de l’information est</w:t>
      </w:r>
      <w:r w:rsidR="004B5685" w:rsidRPr="00934445">
        <w:rPr>
          <w:i/>
        </w:rPr>
        <w:t xml:space="preserve"> égal ou supérieur à 100</w:t>
      </w:r>
      <w:r w:rsidR="00060512">
        <w:rPr>
          <w:i/>
        </w:rPr>
        <w:t> </w:t>
      </w:r>
      <w:r w:rsidR="004B5685" w:rsidRPr="00934445">
        <w:rPr>
          <w:i/>
        </w:rPr>
        <w:t>000 $.</w:t>
      </w:r>
    </w:p>
    <w:p w14:paraId="663A603B" w14:textId="77777777" w:rsidR="00B56187" w:rsidRPr="00934445" w:rsidRDefault="001669EC" w:rsidP="008714AC">
      <w:pPr>
        <w:jc w:val="both"/>
        <w:rPr>
          <w:i/>
        </w:rPr>
      </w:pPr>
      <w:r>
        <w:rPr>
          <w:i/>
        </w:rPr>
        <w:t>De plus</w:t>
      </w:r>
      <w:r w:rsidR="000B5E7D">
        <w:rPr>
          <w:i/>
        </w:rPr>
        <w:t>,</w:t>
      </w:r>
      <w:r>
        <w:rPr>
          <w:i/>
        </w:rPr>
        <w:t xml:space="preserve"> l’organisme public </w:t>
      </w:r>
      <w:r w:rsidR="006A5373" w:rsidRPr="00934445">
        <w:rPr>
          <w:i/>
        </w:rPr>
        <w:t>doit aussi</w:t>
      </w:r>
      <w:r w:rsidR="00A14472">
        <w:rPr>
          <w:i/>
        </w:rPr>
        <w:t xml:space="preserve"> en vertu du RCTI</w:t>
      </w:r>
      <w:r w:rsidR="006A5373" w:rsidRPr="00934445">
        <w:rPr>
          <w:i/>
        </w:rPr>
        <w:t xml:space="preserve"> faire </w:t>
      </w:r>
      <w:r>
        <w:rPr>
          <w:i/>
        </w:rPr>
        <w:t>un rapport de rendement insatisfaisant pour tout contrat</w:t>
      </w:r>
      <w:r w:rsidR="00A14274">
        <w:rPr>
          <w:i/>
        </w:rPr>
        <w:t xml:space="preserve">, </w:t>
      </w:r>
      <w:r>
        <w:rPr>
          <w:i/>
        </w:rPr>
        <w:t>quel que soit le montant</w:t>
      </w:r>
      <w:r w:rsidR="009420BC">
        <w:rPr>
          <w:i/>
        </w:rPr>
        <w:t>, et ce, dans le but notamment de résilier le contrat pour défaut d’exécution</w:t>
      </w:r>
      <w:r w:rsidR="001A1AA0">
        <w:rPr>
          <w:i/>
        </w:rPr>
        <w:t>.</w:t>
      </w:r>
      <w:r>
        <w:rPr>
          <w:i/>
        </w:rPr>
        <w:t xml:space="preserve"> </w:t>
      </w:r>
      <w:r w:rsidR="0046648B">
        <w:rPr>
          <w:i/>
        </w:rPr>
        <w:t>Conséquemment</w:t>
      </w:r>
      <w:r>
        <w:rPr>
          <w:i/>
        </w:rPr>
        <w:t xml:space="preserve">, </w:t>
      </w:r>
      <w:r w:rsidR="001A1AA0">
        <w:rPr>
          <w:i/>
        </w:rPr>
        <w:t xml:space="preserve">si le dirigeant de l’organisme maintient l’évaluation de rendement insatisfaisant, </w:t>
      </w:r>
      <w:r w:rsidR="00272ADE">
        <w:rPr>
          <w:i/>
        </w:rPr>
        <w:t xml:space="preserve">la cote de rendement accordée au prestataire de services pour </w:t>
      </w:r>
      <w:r w:rsidR="0046648B">
        <w:rPr>
          <w:i/>
        </w:rPr>
        <w:t>c</w:t>
      </w:r>
      <w:r w:rsidR="00272ADE">
        <w:rPr>
          <w:i/>
        </w:rPr>
        <w:t xml:space="preserve">e contrat </w:t>
      </w:r>
      <w:r w:rsidR="0046648B">
        <w:rPr>
          <w:i/>
        </w:rPr>
        <w:t xml:space="preserve">sera </w:t>
      </w:r>
      <w:r w:rsidR="00272ADE">
        <w:rPr>
          <w:i/>
        </w:rPr>
        <w:t>de zéro.</w:t>
      </w:r>
      <w:r w:rsidR="009420BC">
        <w:rPr>
          <w:i/>
        </w:rPr>
        <w:t xml:space="preserve"> Rappelons qu’en vertu du RCTI, l’organisme public peut, pendant deux ans, refuser la soumission de tout soumissionnaire ayant fait l’objet d’un rapport de rendement insatisfaisant si cela est prévu aux documents d’appel d’offres.</w:t>
      </w:r>
    </w:p>
    <w:p w14:paraId="688AAEDE" w14:textId="77777777" w:rsidR="007C20C9" w:rsidRPr="006B0D66" w:rsidRDefault="0010177E" w:rsidP="009420BC">
      <w:pPr>
        <w:rPr>
          <w:b/>
          <w:sz w:val="24"/>
          <w:szCs w:val="24"/>
        </w:rPr>
      </w:pPr>
      <w:r w:rsidRPr="006B0D66">
        <w:rPr>
          <w:b/>
          <w:sz w:val="24"/>
          <w:szCs w:val="24"/>
        </w:rPr>
        <w:t>PRINCIPES DIRECTEURS</w:t>
      </w:r>
    </w:p>
    <w:p w14:paraId="2B636905" w14:textId="77777777" w:rsidR="00B1262D" w:rsidRDefault="002375C7" w:rsidP="00400A7E">
      <w:pPr>
        <w:pStyle w:val="Paragraphedeliste"/>
        <w:numPr>
          <w:ilvl w:val="0"/>
          <w:numId w:val="1"/>
        </w:numPr>
        <w:spacing w:after="120"/>
        <w:ind w:left="714" w:hanging="357"/>
        <w:contextualSpacing w:val="0"/>
        <w:jc w:val="both"/>
      </w:pPr>
      <w:r>
        <w:t xml:space="preserve">L’évaluation du contrat </w:t>
      </w:r>
      <w:r w:rsidR="00881EF9">
        <w:t>se fait</w:t>
      </w:r>
      <w:r>
        <w:t xml:space="preserve"> en adéquation avec l’objectif du contrat, </w:t>
      </w:r>
      <w:r w:rsidR="00B1262D">
        <w:t xml:space="preserve">les obligations du prestataire de services et </w:t>
      </w:r>
      <w:r w:rsidR="00585F4E">
        <w:t xml:space="preserve">les résultats attendus, </w:t>
      </w:r>
      <w:r w:rsidR="00667480">
        <w:t xml:space="preserve">ainsi que </w:t>
      </w:r>
      <w:r w:rsidR="00585F4E">
        <w:t xml:space="preserve">les </w:t>
      </w:r>
      <w:r w:rsidR="00B1262D">
        <w:t>facteurs</w:t>
      </w:r>
      <w:r w:rsidR="00585F4E">
        <w:t xml:space="preserve"> d’évaluation</w:t>
      </w:r>
      <w:r w:rsidR="00B65F00">
        <w:t xml:space="preserve"> et </w:t>
      </w:r>
      <w:r w:rsidR="00037835">
        <w:t xml:space="preserve">de </w:t>
      </w:r>
      <w:r w:rsidR="00B65F00">
        <w:t xml:space="preserve">leur </w:t>
      </w:r>
      <w:r w:rsidR="002E13DB">
        <w:t>pondération</w:t>
      </w:r>
      <w:r w:rsidR="006E2281">
        <w:t>.</w:t>
      </w:r>
      <w:r w:rsidR="008956F8">
        <w:t xml:space="preserve"> </w:t>
      </w:r>
    </w:p>
    <w:p w14:paraId="1FC0ADA6" w14:textId="77777777" w:rsidR="00125EF8" w:rsidRDefault="00125EF8" w:rsidP="004004FB">
      <w:pPr>
        <w:pStyle w:val="Paragraphedeliste"/>
        <w:numPr>
          <w:ilvl w:val="0"/>
          <w:numId w:val="1"/>
        </w:numPr>
        <w:spacing w:after="120"/>
        <w:ind w:left="714" w:hanging="357"/>
        <w:contextualSpacing w:val="0"/>
        <w:jc w:val="both"/>
      </w:pPr>
      <w:r>
        <w:t xml:space="preserve">L’évaluation </w:t>
      </w:r>
      <w:r w:rsidR="007C0560">
        <w:t>porte</w:t>
      </w:r>
      <w:r>
        <w:t xml:space="preserve"> sur </w:t>
      </w:r>
      <w:r w:rsidR="00B1262D">
        <w:t>l</w:t>
      </w:r>
      <w:r w:rsidR="00585F4E">
        <w:t xml:space="preserve">es éléments </w:t>
      </w:r>
      <w:r w:rsidR="00585F4E" w:rsidRPr="00B1262D">
        <w:t>importants</w:t>
      </w:r>
      <w:r w:rsidR="00585F4E">
        <w:t xml:space="preserve"> du</w:t>
      </w:r>
      <w:r>
        <w:t xml:space="preserve"> contrat</w:t>
      </w:r>
      <w:r w:rsidR="008956F8">
        <w:t xml:space="preserve"> favorisant s</w:t>
      </w:r>
      <w:r w:rsidR="00B65F00">
        <w:t>a réussite</w:t>
      </w:r>
      <w:r w:rsidR="002E13DB">
        <w:t xml:space="preserve"> et qui sont sous le contrôle du prestataire de services</w:t>
      </w:r>
      <w:r w:rsidR="00FA512E">
        <w:t>.</w:t>
      </w:r>
    </w:p>
    <w:p w14:paraId="3DD2820F" w14:textId="77777777" w:rsidR="00471C18" w:rsidRDefault="00471C18" w:rsidP="00400A7E">
      <w:pPr>
        <w:spacing w:after="0"/>
      </w:pPr>
    </w:p>
    <w:p w14:paraId="4FD46199" w14:textId="77777777" w:rsidR="00400A7E" w:rsidRPr="00400A7E" w:rsidRDefault="00400A7E" w:rsidP="00400A7E">
      <w:pPr>
        <w:spacing w:after="0"/>
      </w:pPr>
      <w:r w:rsidRPr="00400A7E">
        <w:t>PRESTATAIRE DE SERVICES :</w:t>
      </w:r>
    </w:p>
    <w:p w14:paraId="21B116DB" w14:textId="77777777" w:rsidR="00400A7E" w:rsidRPr="00400A7E" w:rsidRDefault="00400A7E" w:rsidP="00400A7E">
      <w:pPr>
        <w:spacing w:before="120" w:after="120"/>
      </w:pPr>
      <w:r w:rsidRPr="00400A7E">
        <w:t>N</w:t>
      </w:r>
      <w:r w:rsidRPr="00400A7E">
        <w:rPr>
          <w:vertAlign w:val="superscript"/>
        </w:rPr>
        <w:t>O</w:t>
      </w:r>
      <w:r w:rsidRPr="00400A7E">
        <w:t xml:space="preserve"> DE CONTRAT :</w:t>
      </w:r>
    </w:p>
    <w:p w14:paraId="21C69518" w14:textId="77777777" w:rsidR="00400A7E" w:rsidRPr="00400A7E" w:rsidRDefault="00471C18" w:rsidP="00400A7E">
      <w:pPr>
        <w:spacing w:after="120"/>
        <w:jc w:val="both"/>
      </w:pPr>
      <w:r>
        <w:t>Titre du contrat</w:t>
      </w:r>
      <w:r w:rsidR="00400A7E" w:rsidRPr="00400A7E">
        <w:t> :</w:t>
      </w:r>
    </w:p>
    <w:tbl>
      <w:tblPr>
        <w:tblStyle w:val="Grilledutableau"/>
        <w:tblW w:w="9351" w:type="dxa"/>
        <w:tblLook w:val="04A0" w:firstRow="1" w:lastRow="0" w:firstColumn="1" w:lastColumn="0" w:noHBand="0" w:noVBand="1"/>
      </w:tblPr>
      <w:tblGrid>
        <w:gridCol w:w="5461"/>
        <w:gridCol w:w="917"/>
        <w:gridCol w:w="1400"/>
        <w:gridCol w:w="1573"/>
      </w:tblGrid>
      <w:tr w:rsidR="00400A7E" w:rsidRPr="00400A7E" w14:paraId="6BC0DCC9" w14:textId="77777777" w:rsidTr="00433966">
        <w:trPr>
          <w:trHeight w:val="567"/>
        </w:trPr>
        <w:tc>
          <w:tcPr>
            <w:tcW w:w="5703" w:type="dxa"/>
            <w:vAlign w:val="center"/>
          </w:tcPr>
          <w:p w14:paraId="5A5282C6" w14:textId="77777777" w:rsidR="00400A7E" w:rsidRPr="00881753" w:rsidRDefault="00400A7E" w:rsidP="00F976B2">
            <w:pPr>
              <w:rPr>
                <w:b/>
              </w:rPr>
            </w:pPr>
            <w:commentRangeStart w:id="2"/>
            <w:r w:rsidRPr="00881753">
              <w:rPr>
                <w:b/>
              </w:rPr>
              <w:t>Évaluation de rendement du prestataire de services</w:t>
            </w:r>
            <w:r w:rsidR="00060512">
              <w:rPr>
                <w:b/>
              </w:rPr>
              <w:t>/</w:t>
            </w:r>
            <w:r w:rsidR="001F4EF3" w:rsidRPr="00881753">
              <w:rPr>
                <w:b/>
              </w:rPr>
              <w:t>contrat à forfait</w:t>
            </w:r>
          </w:p>
        </w:tc>
        <w:tc>
          <w:tcPr>
            <w:tcW w:w="931" w:type="dxa"/>
            <w:vAlign w:val="center"/>
          </w:tcPr>
          <w:p w14:paraId="2A6FC397" w14:textId="77777777" w:rsidR="00400A7E" w:rsidRPr="00400A7E" w:rsidRDefault="00400A7E" w:rsidP="00433966">
            <w:pPr>
              <w:jc w:val="center"/>
            </w:pPr>
            <w:r w:rsidRPr="00400A7E">
              <w:t>Notes</w:t>
            </w:r>
          </w:p>
        </w:tc>
        <w:tc>
          <w:tcPr>
            <w:tcW w:w="1406" w:type="dxa"/>
            <w:vAlign w:val="center"/>
          </w:tcPr>
          <w:p w14:paraId="1CAF53A5" w14:textId="77777777" w:rsidR="00400A7E" w:rsidRPr="00400A7E" w:rsidRDefault="00400A7E" w:rsidP="00433966">
            <w:pPr>
              <w:jc w:val="center"/>
            </w:pPr>
            <w:r w:rsidRPr="00400A7E">
              <w:t>Pondération</w:t>
            </w:r>
          </w:p>
        </w:tc>
        <w:tc>
          <w:tcPr>
            <w:tcW w:w="1311" w:type="dxa"/>
          </w:tcPr>
          <w:p w14:paraId="0D28A7FA" w14:textId="77777777" w:rsidR="00400A7E" w:rsidRPr="00400A7E" w:rsidRDefault="00400A7E" w:rsidP="00433966">
            <w:pPr>
              <w:jc w:val="center"/>
            </w:pPr>
            <w:r w:rsidRPr="00400A7E">
              <w:t>Notes pondérées</w:t>
            </w:r>
            <w:commentRangeEnd w:id="2"/>
            <w:r w:rsidR="001F6F43">
              <w:rPr>
                <w:rStyle w:val="Marquedecommentaire"/>
              </w:rPr>
              <w:commentReference w:id="2"/>
            </w:r>
          </w:p>
        </w:tc>
      </w:tr>
      <w:tr w:rsidR="00400A7E" w:rsidRPr="00400A7E" w14:paraId="4FB80AE1" w14:textId="77777777" w:rsidTr="00433966">
        <w:trPr>
          <w:trHeight w:val="567"/>
        </w:trPr>
        <w:tc>
          <w:tcPr>
            <w:tcW w:w="5703" w:type="dxa"/>
            <w:vAlign w:val="center"/>
          </w:tcPr>
          <w:p w14:paraId="60E30959" w14:textId="77777777" w:rsidR="00400A7E" w:rsidRPr="00400A7E" w:rsidRDefault="00674582">
            <w:pPr>
              <w:pStyle w:val="Paragraphedeliste"/>
              <w:numPr>
                <w:ilvl w:val="0"/>
                <w:numId w:val="8"/>
              </w:numPr>
            </w:pPr>
            <w:r>
              <w:t>Le r</w:t>
            </w:r>
            <w:r w:rsidR="00400A7E" w:rsidRPr="00400A7E">
              <w:t>espect des échéanciers</w:t>
            </w:r>
          </w:p>
        </w:tc>
        <w:tc>
          <w:tcPr>
            <w:tcW w:w="931" w:type="dxa"/>
            <w:vAlign w:val="center"/>
          </w:tcPr>
          <w:p w14:paraId="00EA7EC4" w14:textId="77777777" w:rsidR="00400A7E" w:rsidRPr="00400A7E" w:rsidRDefault="00400A7E" w:rsidP="00433966">
            <w:pPr>
              <w:jc w:val="center"/>
            </w:pPr>
            <w:r w:rsidRPr="00400A7E">
              <w:t>/5</w:t>
            </w:r>
          </w:p>
        </w:tc>
        <w:tc>
          <w:tcPr>
            <w:tcW w:w="1406" w:type="dxa"/>
            <w:vAlign w:val="center"/>
          </w:tcPr>
          <w:p w14:paraId="3F0DDA1A" w14:textId="77777777" w:rsidR="00400A7E" w:rsidRPr="00400A7E" w:rsidRDefault="00400A7E" w:rsidP="00433966">
            <w:pPr>
              <w:jc w:val="center"/>
            </w:pPr>
            <w:r w:rsidRPr="00400A7E">
              <w:t>6</w:t>
            </w:r>
          </w:p>
        </w:tc>
        <w:tc>
          <w:tcPr>
            <w:tcW w:w="1311" w:type="dxa"/>
            <w:vAlign w:val="center"/>
          </w:tcPr>
          <w:p w14:paraId="1174FA6E" w14:textId="77777777" w:rsidR="00400A7E" w:rsidRPr="00400A7E" w:rsidRDefault="00400A7E" w:rsidP="00433966">
            <w:pPr>
              <w:jc w:val="center"/>
            </w:pPr>
            <w:r w:rsidRPr="00400A7E">
              <w:t>/30</w:t>
            </w:r>
          </w:p>
        </w:tc>
      </w:tr>
      <w:tr w:rsidR="00400A7E" w:rsidRPr="00400A7E" w14:paraId="583877E7" w14:textId="77777777" w:rsidTr="00433966">
        <w:trPr>
          <w:trHeight w:val="567"/>
        </w:trPr>
        <w:tc>
          <w:tcPr>
            <w:tcW w:w="5703" w:type="dxa"/>
            <w:vAlign w:val="center"/>
          </w:tcPr>
          <w:p w14:paraId="62862710" w14:textId="77777777" w:rsidR="00400A7E" w:rsidRPr="00400A7E" w:rsidRDefault="00FA3832" w:rsidP="00FA3832">
            <w:pPr>
              <w:pStyle w:val="Paragraphedeliste"/>
              <w:numPr>
                <w:ilvl w:val="0"/>
                <w:numId w:val="8"/>
              </w:numPr>
            </w:pPr>
            <w:r>
              <w:t>L</w:t>
            </w:r>
            <w:r w:rsidR="00674582">
              <w:t xml:space="preserve">a </w:t>
            </w:r>
            <w:r w:rsidR="001F4EF3">
              <w:t>conformité des livrables et l’atteinte des résultats</w:t>
            </w:r>
          </w:p>
        </w:tc>
        <w:tc>
          <w:tcPr>
            <w:tcW w:w="931" w:type="dxa"/>
            <w:vAlign w:val="center"/>
          </w:tcPr>
          <w:p w14:paraId="4F957C09" w14:textId="77777777" w:rsidR="00400A7E" w:rsidRPr="00400A7E" w:rsidRDefault="00400A7E" w:rsidP="00433966">
            <w:pPr>
              <w:jc w:val="center"/>
            </w:pPr>
            <w:r w:rsidRPr="00400A7E">
              <w:t>/5</w:t>
            </w:r>
          </w:p>
        </w:tc>
        <w:tc>
          <w:tcPr>
            <w:tcW w:w="1406" w:type="dxa"/>
            <w:vAlign w:val="center"/>
          </w:tcPr>
          <w:p w14:paraId="34C43C56" w14:textId="77777777" w:rsidR="00400A7E" w:rsidRPr="00400A7E" w:rsidRDefault="00400A7E" w:rsidP="00433966">
            <w:pPr>
              <w:jc w:val="center"/>
            </w:pPr>
            <w:r w:rsidRPr="00400A7E">
              <w:t>2</w:t>
            </w:r>
          </w:p>
        </w:tc>
        <w:tc>
          <w:tcPr>
            <w:tcW w:w="1311" w:type="dxa"/>
            <w:vAlign w:val="center"/>
          </w:tcPr>
          <w:p w14:paraId="674B8BA0" w14:textId="77777777" w:rsidR="00400A7E" w:rsidRPr="00400A7E" w:rsidRDefault="00400A7E" w:rsidP="00433966">
            <w:pPr>
              <w:jc w:val="center"/>
            </w:pPr>
            <w:r w:rsidRPr="00400A7E">
              <w:t>/10</w:t>
            </w:r>
          </w:p>
        </w:tc>
      </w:tr>
      <w:tr w:rsidR="00400A7E" w:rsidRPr="00400A7E" w14:paraId="6E3F008C" w14:textId="77777777" w:rsidTr="00433966">
        <w:trPr>
          <w:trHeight w:val="567"/>
        </w:trPr>
        <w:tc>
          <w:tcPr>
            <w:tcW w:w="5703" w:type="dxa"/>
            <w:vAlign w:val="center"/>
          </w:tcPr>
          <w:p w14:paraId="095CBFA6" w14:textId="77777777" w:rsidR="00400A7E" w:rsidRPr="00400A7E" w:rsidRDefault="00C90076" w:rsidP="001F4EF3">
            <w:pPr>
              <w:pStyle w:val="Paragraphedeliste"/>
              <w:numPr>
                <w:ilvl w:val="0"/>
                <w:numId w:val="8"/>
              </w:numPr>
            </w:pPr>
            <w:r>
              <w:t>La qualité des communications</w:t>
            </w:r>
          </w:p>
        </w:tc>
        <w:tc>
          <w:tcPr>
            <w:tcW w:w="931" w:type="dxa"/>
            <w:vAlign w:val="center"/>
          </w:tcPr>
          <w:p w14:paraId="4630F7E8" w14:textId="77777777" w:rsidR="00400A7E" w:rsidRPr="00400A7E" w:rsidRDefault="00400A7E" w:rsidP="00433966">
            <w:pPr>
              <w:jc w:val="center"/>
            </w:pPr>
            <w:r w:rsidRPr="00400A7E">
              <w:t>/5</w:t>
            </w:r>
          </w:p>
        </w:tc>
        <w:tc>
          <w:tcPr>
            <w:tcW w:w="1406" w:type="dxa"/>
            <w:vAlign w:val="center"/>
          </w:tcPr>
          <w:p w14:paraId="5FA34663" w14:textId="77777777" w:rsidR="00400A7E" w:rsidRPr="00400A7E" w:rsidRDefault="00400A7E" w:rsidP="00433966">
            <w:pPr>
              <w:jc w:val="center"/>
            </w:pPr>
            <w:r w:rsidRPr="00400A7E">
              <w:t>6</w:t>
            </w:r>
          </w:p>
        </w:tc>
        <w:tc>
          <w:tcPr>
            <w:tcW w:w="1311" w:type="dxa"/>
            <w:vAlign w:val="center"/>
          </w:tcPr>
          <w:p w14:paraId="15D02C45" w14:textId="77777777" w:rsidR="00400A7E" w:rsidRPr="00400A7E" w:rsidRDefault="00400A7E" w:rsidP="00433966">
            <w:pPr>
              <w:jc w:val="center"/>
            </w:pPr>
            <w:r w:rsidRPr="00400A7E">
              <w:t>/30</w:t>
            </w:r>
          </w:p>
        </w:tc>
      </w:tr>
      <w:tr w:rsidR="00400A7E" w:rsidRPr="00400A7E" w14:paraId="5E1347E0" w14:textId="77777777" w:rsidTr="00433966">
        <w:trPr>
          <w:trHeight w:val="567"/>
        </w:trPr>
        <w:tc>
          <w:tcPr>
            <w:tcW w:w="5703" w:type="dxa"/>
            <w:vAlign w:val="center"/>
          </w:tcPr>
          <w:p w14:paraId="0204DE85" w14:textId="77777777" w:rsidR="00400A7E" w:rsidRPr="00400A7E" w:rsidRDefault="00C90076" w:rsidP="00400A7E">
            <w:pPr>
              <w:pStyle w:val="Paragraphedeliste"/>
              <w:numPr>
                <w:ilvl w:val="0"/>
                <w:numId w:val="8"/>
              </w:numPr>
            </w:pPr>
            <w:r>
              <w:t>Le règlement des situations problématiques et des lacunes observées</w:t>
            </w:r>
          </w:p>
        </w:tc>
        <w:tc>
          <w:tcPr>
            <w:tcW w:w="931" w:type="dxa"/>
            <w:vAlign w:val="center"/>
          </w:tcPr>
          <w:p w14:paraId="0FD937E9" w14:textId="77777777" w:rsidR="00400A7E" w:rsidRPr="00400A7E" w:rsidRDefault="00400A7E" w:rsidP="00433966">
            <w:pPr>
              <w:jc w:val="center"/>
            </w:pPr>
            <w:r w:rsidRPr="00400A7E">
              <w:t>/5</w:t>
            </w:r>
          </w:p>
        </w:tc>
        <w:tc>
          <w:tcPr>
            <w:tcW w:w="1406" w:type="dxa"/>
            <w:vAlign w:val="center"/>
          </w:tcPr>
          <w:p w14:paraId="1B42A3D7" w14:textId="77777777" w:rsidR="00400A7E" w:rsidRPr="00400A7E" w:rsidRDefault="00400A7E" w:rsidP="00433966">
            <w:pPr>
              <w:jc w:val="center"/>
            </w:pPr>
            <w:r w:rsidRPr="00400A7E">
              <w:t>4</w:t>
            </w:r>
          </w:p>
        </w:tc>
        <w:tc>
          <w:tcPr>
            <w:tcW w:w="1311" w:type="dxa"/>
            <w:vAlign w:val="center"/>
          </w:tcPr>
          <w:p w14:paraId="66943071" w14:textId="77777777" w:rsidR="00400A7E" w:rsidRPr="00400A7E" w:rsidRDefault="00400A7E" w:rsidP="00433966">
            <w:pPr>
              <w:jc w:val="center"/>
            </w:pPr>
            <w:r w:rsidRPr="00400A7E">
              <w:t>/20</w:t>
            </w:r>
          </w:p>
        </w:tc>
      </w:tr>
      <w:tr w:rsidR="00400A7E" w:rsidRPr="00400A7E" w14:paraId="31CB555F" w14:textId="77777777" w:rsidTr="00433966">
        <w:trPr>
          <w:trHeight w:val="567"/>
        </w:trPr>
        <w:tc>
          <w:tcPr>
            <w:tcW w:w="5703" w:type="dxa"/>
            <w:vAlign w:val="center"/>
          </w:tcPr>
          <w:p w14:paraId="24B93AA3" w14:textId="77777777" w:rsidR="00400A7E" w:rsidRPr="00400A7E" w:rsidRDefault="00EB08C0" w:rsidP="001D4B6D">
            <w:pPr>
              <w:pStyle w:val="Paragraphedeliste"/>
              <w:numPr>
                <w:ilvl w:val="0"/>
                <w:numId w:val="8"/>
              </w:numPr>
            </w:pPr>
            <w:r>
              <w:t xml:space="preserve">La </w:t>
            </w:r>
            <w:r w:rsidR="006335A7">
              <w:t xml:space="preserve">gestion et la </w:t>
            </w:r>
            <w:r>
              <w:t xml:space="preserve">coordination </w:t>
            </w:r>
            <w:r w:rsidR="00667480">
              <w:t xml:space="preserve">de </w:t>
            </w:r>
            <w:r w:rsidR="00997E71">
              <w:t xml:space="preserve">l’exécution du </w:t>
            </w:r>
            <w:r w:rsidR="006335A7">
              <w:t xml:space="preserve">projet selon les exigences du </w:t>
            </w:r>
            <w:r w:rsidR="00997E71">
              <w:t>contrat</w:t>
            </w:r>
          </w:p>
        </w:tc>
        <w:tc>
          <w:tcPr>
            <w:tcW w:w="931" w:type="dxa"/>
            <w:vAlign w:val="center"/>
          </w:tcPr>
          <w:p w14:paraId="710B4605" w14:textId="77777777" w:rsidR="00400A7E" w:rsidRPr="00400A7E" w:rsidRDefault="00400A7E" w:rsidP="00433966">
            <w:pPr>
              <w:jc w:val="center"/>
            </w:pPr>
            <w:r w:rsidRPr="00400A7E">
              <w:t>/5</w:t>
            </w:r>
          </w:p>
        </w:tc>
        <w:tc>
          <w:tcPr>
            <w:tcW w:w="1406" w:type="dxa"/>
            <w:vAlign w:val="center"/>
          </w:tcPr>
          <w:p w14:paraId="588A209B" w14:textId="77777777" w:rsidR="00400A7E" w:rsidRPr="00400A7E" w:rsidRDefault="00C90076" w:rsidP="00433966">
            <w:pPr>
              <w:jc w:val="center"/>
            </w:pPr>
            <w:r>
              <w:t>1</w:t>
            </w:r>
          </w:p>
        </w:tc>
        <w:tc>
          <w:tcPr>
            <w:tcW w:w="1311" w:type="dxa"/>
            <w:vAlign w:val="center"/>
          </w:tcPr>
          <w:p w14:paraId="4611BEA3" w14:textId="77777777" w:rsidR="00400A7E" w:rsidRPr="00400A7E" w:rsidRDefault="00400A7E" w:rsidP="00C90076">
            <w:pPr>
              <w:jc w:val="center"/>
            </w:pPr>
            <w:r w:rsidRPr="00400A7E">
              <w:t>/</w:t>
            </w:r>
            <w:r w:rsidR="00C90076">
              <w:t>5</w:t>
            </w:r>
          </w:p>
        </w:tc>
      </w:tr>
      <w:tr w:rsidR="00C90076" w:rsidRPr="00400A7E" w14:paraId="15039595" w14:textId="77777777" w:rsidTr="00433966">
        <w:trPr>
          <w:trHeight w:val="567"/>
        </w:trPr>
        <w:tc>
          <w:tcPr>
            <w:tcW w:w="5703" w:type="dxa"/>
            <w:vAlign w:val="center"/>
          </w:tcPr>
          <w:p w14:paraId="6096F567" w14:textId="77777777" w:rsidR="00C90076" w:rsidRPr="00400A7E" w:rsidDel="00A848AF" w:rsidRDefault="00EB08C0" w:rsidP="00400A7E">
            <w:pPr>
              <w:pStyle w:val="Paragraphedeliste"/>
              <w:numPr>
                <w:ilvl w:val="0"/>
                <w:numId w:val="8"/>
              </w:numPr>
            </w:pPr>
            <w:r>
              <w:t>Autre facteur</w:t>
            </w:r>
            <w:r w:rsidR="00C90076">
              <w:t xml:space="preserve"> d’évaluation</w:t>
            </w:r>
          </w:p>
        </w:tc>
        <w:tc>
          <w:tcPr>
            <w:tcW w:w="931" w:type="dxa"/>
            <w:vAlign w:val="center"/>
          </w:tcPr>
          <w:p w14:paraId="1A514CBB" w14:textId="77777777" w:rsidR="00C90076" w:rsidRPr="00400A7E" w:rsidRDefault="00C90076" w:rsidP="00433966">
            <w:pPr>
              <w:jc w:val="center"/>
            </w:pPr>
            <w:r w:rsidRPr="00400A7E">
              <w:t>/5</w:t>
            </w:r>
          </w:p>
        </w:tc>
        <w:tc>
          <w:tcPr>
            <w:tcW w:w="1406" w:type="dxa"/>
            <w:vAlign w:val="center"/>
          </w:tcPr>
          <w:p w14:paraId="3BF97362" w14:textId="77777777" w:rsidR="00C90076" w:rsidRPr="00400A7E" w:rsidRDefault="00C90076" w:rsidP="00433966">
            <w:pPr>
              <w:jc w:val="center"/>
            </w:pPr>
            <w:r>
              <w:t>1</w:t>
            </w:r>
          </w:p>
        </w:tc>
        <w:tc>
          <w:tcPr>
            <w:tcW w:w="1311" w:type="dxa"/>
            <w:vAlign w:val="center"/>
          </w:tcPr>
          <w:p w14:paraId="6BCC3B15" w14:textId="77777777" w:rsidR="00C90076" w:rsidRPr="00400A7E" w:rsidRDefault="00C90076" w:rsidP="00433966">
            <w:pPr>
              <w:jc w:val="center"/>
            </w:pPr>
            <w:r>
              <w:t>/5</w:t>
            </w:r>
          </w:p>
        </w:tc>
      </w:tr>
      <w:tr w:rsidR="00400A7E" w:rsidRPr="00400A7E" w14:paraId="0B617E81" w14:textId="77777777" w:rsidTr="00433966">
        <w:trPr>
          <w:trHeight w:val="567"/>
        </w:trPr>
        <w:tc>
          <w:tcPr>
            <w:tcW w:w="5703" w:type="dxa"/>
            <w:vAlign w:val="center"/>
          </w:tcPr>
          <w:p w14:paraId="458E3FD5" w14:textId="77777777" w:rsidR="00400A7E" w:rsidRPr="00400A7E" w:rsidRDefault="00EB08C0" w:rsidP="00433966">
            <w:r>
              <w:t>N</w:t>
            </w:r>
            <w:r w:rsidR="00400A7E" w:rsidRPr="00400A7E">
              <w:t>ote globale</w:t>
            </w:r>
          </w:p>
        </w:tc>
        <w:tc>
          <w:tcPr>
            <w:tcW w:w="931" w:type="dxa"/>
            <w:vAlign w:val="center"/>
          </w:tcPr>
          <w:p w14:paraId="7D33ABE3" w14:textId="77777777" w:rsidR="00400A7E" w:rsidRPr="00400A7E" w:rsidRDefault="00400A7E" w:rsidP="00433966">
            <w:pPr>
              <w:jc w:val="center"/>
            </w:pPr>
          </w:p>
        </w:tc>
        <w:tc>
          <w:tcPr>
            <w:tcW w:w="1406" w:type="dxa"/>
            <w:vAlign w:val="center"/>
          </w:tcPr>
          <w:p w14:paraId="425617AE" w14:textId="77777777" w:rsidR="00400A7E" w:rsidRPr="00400A7E" w:rsidRDefault="00FA6CAA" w:rsidP="00433966">
            <w:pPr>
              <w:jc w:val="center"/>
            </w:pPr>
            <w:r w:rsidRPr="00FA6CAA">
              <w:rPr>
                <w:b/>
              </w:rPr>
              <w:t>∑</w:t>
            </w:r>
            <w:r>
              <w:t>20</w:t>
            </w:r>
          </w:p>
        </w:tc>
        <w:tc>
          <w:tcPr>
            <w:tcW w:w="1311" w:type="dxa"/>
            <w:vAlign w:val="center"/>
          </w:tcPr>
          <w:p w14:paraId="7BD73D8F" w14:textId="77777777" w:rsidR="00400A7E" w:rsidRPr="00400A7E" w:rsidRDefault="00400A7E" w:rsidP="00433966">
            <w:pPr>
              <w:jc w:val="center"/>
            </w:pPr>
            <w:r w:rsidRPr="00400A7E">
              <w:t>/100</w:t>
            </w:r>
          </w:p>
        </w:tc>
      </w:tr>
    </w:tbl>
    <w:p w14:paraId="363ECF8A" w14:textId="77777777" w:rsidR="00DD36DD" w:rsidRDefault="00DD36DD" w:rsidP="00FA6CAA">
      <w:pPr>
        <w:spacing w:after="0"/>
      </w:pPr>
    </w:p>
    <w:tbl>
      <w:tblPr>
        <w:tblStyle w:val="Grilledutableau"/>
        <w:tblW w:w="9351" w:type="dxa"/>
        <w:tblLook w:val="04A0" w:firstRow="1" w:lastRow="0" w:firstColumn="1" w:lastColumn="0" w:noHBand="0" w:noVBand="1"/>
      </w:tblPr>
      <w:tblGrid>
        <w:gridCol w:w="5703"/>
        <w:gridCol w:w="931"/>
        <w:gridCol w:w="1406"/>
        <w:gridCol w:w="1311"/>
      </w:tblGrid>
      <w:tr w:rsidR="00C90076" w:rsidRPr="00400A7E" w14:paraId="118F0E0E" w14:textId="77777777" w:rsidTr="008277CC">
        <w:trPr>
          <w:trHeight w:val="567"/>
        </w:trPr>
        <w:tc>
          <w:tcPr>
            <w:tcW w:w="5703" w:type="dxa"/>
            <w:vAlign w:val="center"/>
          </w:tcPr>
          <w:p w14:paraId="22ACAF36" w14:textId="77777777" w:rsidR="00C90076" w:rsidRPr="00881753" w:rsidRDefault="00C90076" w:rsidP="00F976B2">
            <w:pPr>
              <w:rPr>
                <w:b/>
              </w:rPr>
            </w:pPr>
            <w:r w:rsidRPr="00881753">
              <w:rPr>
                <w:b/>
              </w:rPr>
              <w:t>Évaluation de rendement du prestataire de services</w:t>
            </w:r>
            <w:r w:rsidR="00060512">
              <w:rPr>
                <w:b/>
              </w:rPr>
              <w:t>/</w:t>
            </w:r>
            <w:r w:rsidRPr="00881753">
              <w:rPr>
                <w:b/>
              </w:rPr>
              <w:t>contrat à taux horaire</w:t>
            </w:r>
          </w:p>
        </w:tc>
        <w:tc>
          <w:tcPr>
            <w:tcW w:w="931" w:type="dxa"/>
            <w:vAlign w:val="center"/>
          </w:tcPr>
          <w:p w14:paraId="55CA686F" w14:textId="77777777" w:rsidR="00C90076" w:rsidRPr="00400A7E" w:rsidRDefault="00C90076" w:rsidP="008277CC">
            <w:pPr>
              <w:jc w:val="center"/>
            </w:pPr>
            <w:r w:rsidRPr="00400A7E">
              <w:t>Notes</w:t>
            </w:r>
          </w:p>
        </w:tc>
        <w:tc>
          <w:tcPr>
            <w:tcW w:w="1406" w:type="dxa"/>
            <w:vAlign w:val="center"/>
          </w:tcPr>
          <w:p w14:paraId="51153E8B" w14:textId="77777777" w:rsidR="00C90076" w:rsidRPr="00400A7E" w:rsidRDefault="00C90076" w:rsidP="008277CC">
            <w:pPr>
              <w:jc w:val="center"/>
            </w:pPr>
            <w:r w:rsidRPr="00400A7E">
              <w:t>Pondération</w:t>
            </w:r>
          </w:p>
        </w:tc>
        <w:tc>
          <w:tcPr>
            <w:tcW w:w="1311" w:type="dxa"/>
          </w:tcPr>
          <w:p w14:paraId="370D3AA1" w14:textId="77777777" w:rsidR="00C90076" w:rsidRPr="00400A7E" w:rsidRDefault="00C90076" w:rsidP="008277CC">
            <w:pPr>
              <w:jc w:val="center"/>
            </w:pPr>
            <w:r w:rsidRPr="00400A7E">
              <w:t>Notes pondérées</w:t>
            </w:r>
          </w:p>
        </w:tc>
      </w:tr>
      <w:tr w:rsidR="00C90076" w:rsidRPr="00400A7E" w14:paraId="6222F17D" w14:textId="77777777" w:rsidTr="008277CC">
        <w:trPr>
          <w:trHeight w:val="567"/>
        </w:trPr>
        <w:tc>
          <w:tcPr>
            <w:tcW w:w="5703" w:type="dxa"/>
            <w:vAlign w:val="center"/>
          </w:tcPr>
          <w:p w14:paraId="381AE137" w14:textId="77777777" w:rsidR="00C90076" w:rsidRPr="00400A7E" w:rsidRDefault="00674582">
            <w:pPr>
              <w:pStyle w:val="Paragraphedeliste"/>
              <w:numPr>
                <w:ilvl w:val="0"/>
                <w:numId w:val="13"/>
              </w:numPr>
            </w:pPr>
            <w:r>
              <w:t>Le r</w:t>
            </w:r>
            <w:r w:rsidR="00C90076" w:rsidRPr="00400A7E">
              <w:t>espect des échéanciers</w:t>
            </w:r>
          </w:p>
        </w:tc>
        <w:tc>
          <w:tcPr>
            <w:tcW w:w="931" w:type="dxa"/>
            <w:vAlign w:val="center"/>
          </w:tcPr>
          <w:p w14:paraId="7A3EC24F" w14:textId="77777777" w:rsidR="00C90076" w:rsidRPr="00400A7E" w:rsidRDefault="00C90076" w:rsidP="008277CC">
            <w:pPr>
              <w:jc w:val="center"/>
            </w:pPr>
            <w:r w:rsidRPr="00400A7E">
              <w:t>/5</w:t>
            </w:r>
          </w:p>
        </w:tc>
        <w:tc>
          <w:tcPr>
            <w:tcW w:w="1406" w:type="dxa"/>
            <w:vAlign w:val="center"/>
          </w:tcPr>
          <w:p w14:paraId="54B14DE7" w14:textId="77777777" w:rsidR="00C90076" w:rsidRPr="00400A7E" w:rsidRDefault="00C90076" w:rsidP="008277CC">
            <w:pPr>
              <w:jc w:val="center"/>
            </w:pPr>
            <w:r w:rsidRPr="00400A7E">
              <w:t>6</w:t>
            </w:r>
          </w:p>
        </w:tc>
        <w:tc>
          <w:tcPr>
            <w:tcW w:w="1311" w:type="dxa"/>
            <w:vAlign w:val="center"/>
          </w:tcPr>
          <w:p w14:paraId="310684D7" w14:textId="77777777" w:rsidR="00C90076" w:rsidRPr="00400A7E" w:rsidRDefault="00C90076" w:rsidP="008277CC">
            <w:pPr>
              <w:jc w:val="center"/>
            </w:pPr>
            <w:r w:rsidRPr="00400A7E">
              <w:t>/30</w:t>
            </w:r>
          </w:p>
        </w:tc>
      </w:tr>
      <w:tr w:rsidR="00C90076" w:rsidRPr="00400A7E" w14:paraId="3794D496" w14:textId="77777777" w:rsidTr="008277CC">
        <w:trPr>
          <w:trHeight w:val="567"/>
        </w:trPr>
        <w:tc>
          <w:tcPr>
            <w:tcW w:w="5703" w:type="dxa"/>
            <w:vAlign w:val="center"/>
          </w:tcPr>
          <w:p w14:paraId="719729E4" w14:textId="77777777" w:rsidR="00C90076" w:rsidRPr="00400A7E" w:rsidRDefault="00674582" w:rsidP="00EB08C0">
            <w:pPr>
              <w:pStyle w:val="Paragraphedeliste"/>
              <w:numPr>
                <w:ilvl w:val="0"/>
                <w:numId w:val="13"/>
              </w:numPr>
            </w:pPr>
            <w:r>
              <w:t>Le r</w:t>
            </w:r>
            <w:r w:rsidR="00C90076">
              <w:t xml:space="preserve">espect </w:t>
            </w:r>
            <w:r w:rsidR="00DD36DD">
              <w:t>des niveaux de services</w:t>
            </w:r>
            <w:r w:rsidR="00C90076">
              <w:t xml:space="preserve"> </w:t>
            </w:r>
          </w:p>
        </w:tc>
        <w:tc>
          <w:tcPr>
            <w:tcW w:w="931" w:type="dxa"/>
            <w:vAlign w:val="center"/>
          </w:tcPr>
          <w:p w14:paraId="4F2EF5BB" w14:textId="77777777" w:rsidR="00C90076" w:rsidRPr="00400A7E" w:rsidRDefault="00C90076" w:rsidP="008277CC">
            <w:pPr>
              <w:jc w:val="center"/>
            </w:pPr>
            <w:r w:rsidRPr="00400A7E">
              <w:t>/5</w:t>
            </w:r>
          </w:p>
        </w:tc>
        <w:tc>
          <w:tcPr>
            <w:tcW w:w="1406" w:type="dxa"/>
            <w:vAlign w:val="center"/>
          </w:tcPr>
          <w:p w14:paraId="5795E1F8" w14:textId="77777777" w:rsidR="00C90076" w:rsidRPr="00400A7E" w:rsidRDefault="00C90076" w:rsidP="008277CC">
            <w:pPr>
              <w:jc w:val="center"/>
            </w:pPr>
            <w:r w:rsidRPr="00400A7E">
              <w:t>2</w:t>
            </w:r>
          </w:p>
        </w:tc>
        <w:tc>
          <w:tcPr>
            <w:tcW w:w="1311" w:type="dxa"/>
            <w:vAlign w:val="center"/>
          </w:tcPr>
          <w:p w14:paraId="2C0ADB89" w14:textId="77777777" w:rsidR="00C90076" w:rsidRPr="00400A7E" w:rsidRDefault="00C90076" w:rsidP="008277CC">
            <w:pPr>
              <w:jc w:val="center"/>
            </w:pPr>
            <w:r w:rsidRPr="00400A7E">
              <w:t>/10</w:t>
            </w:r>
          </w:p>
        </w:tc>
      </w:tr>
      <w:tr w:rsidR="00C90076" w:rsidRPr="00400A7E" w14:paraId="1393866C" w14:textId="77777777" w:rsidTr="008277CC">
        <w:trPr>
          <w:trHeight w:val="567"/>
        </w:trPr>
        <w:tc>
          <w:tcPr>
            <w:tcW w:w="5703" w:type="dxa"/>
            <w:vAlign w:val="center"/>
          </w:tcPr>
          <w:p w14:paraId="63AC52B6" w14:textId="77777777" w:rsidR="00C90076" w:rsidRPr="00400A7E" w:rsidRDefault="00EB08C0" w:rsidP="00881753">
            <w:pPr>
              <w:pStyle w:val="Paragraphedeliste"/>
              <w:numPr>
                <w:ilvl w:val="0"/>
                <w:numId w:val="13"/>
              </w:numPr>
            </w:pPr>
            <w:r>
              <w:t>Le respect d</w:t>
            </w:r>
            <w:r w:rsidR="00881753">
              <w:t xml:space="preserve">u processus de remplacement </w:t>
            </w:r>
            <w:r>
              <w:t xml:space="preserve">des ressources </w:t>
            </w:r>
          </w:p>
        </w:tc>
        <w:tc>
          <w:tcPr>
            <w:tcW w:w="931" w:type="dxa"/>
            <w:vAlign w:val="center"/>
          </w:tcPr>
          <w:p w14:paraId="64EDF040" w14:textId="77777777" w:rsidR="00C90076" w:rsidRPr="00400A7E" w:rsidRDefault="00C90076" w:rsidP="008277CC">
            <w:pPr>
              <w:jc w:val="center"/>
            </w:pPr>
            <w:r w:rsidRPr="00400A7E">
              <w:t>/5</w:t>
            </w:r>
          </w:p>
        </w:tc>
        <w:tc>
          <w:tcPr>
            <w:tcW w:w="1406" w:type="dxa"/>
            <w:vAlign w:val="center"/>
          </w:tcPr>
          <w:p w14:paraId="1726A2D1" w14:textId="77777777" w:rsidR="00C90076" w:rsidRPr="00400A7E" w:rsidRDefault="00C90076" w:rsidP="008277CC">
            <w:pPr>
              <w:jc w:val="center"/>
            </w:pPr>
            <w:r w:rsidRPr="00400A7E">
              <w:t>6</w:t>
            </w:r>
          </w:p>
        </w:tc>
        <w:tc>
          <w:tcPr>
            <w:tcW w:w="1311" w:type="dxa"/>
            <w:vAlign w:val="center"/>
          </w:tcPr>
          <w:p w14:paraId="4040DE0E" w14:textId="77777777" w:rsidR="00C90076" w:rsidRPr="00400A7E" w:rsidRDefault="00C90076" w:rsidP="008277CC">
            <w:pPr>
              <w:jc w:val="center"/>
            </w:pPr>
            <w:r w:rsidRPr="00400A7E">
              <w:t>/30</w:t>
            </w:r>
          </w:p>
        </w:tc>
      </w:tr>
      <w:tr w:rsidR="00C90076" w:rsidRPr="00400A7E" w14:paraId="24BA1206" w14:textId="77777777" w:rsidTr="008277CC">
        <w:trPr>
          <w:trHeight w:val="567"/>
        </w:trPr>
        <w:tc>
          <w:tcPr>
            <w:tcW w:w="5703" w:type="dxa"/>
            <w:vAlign w:val="center"/>
          </w:tcPr>
          <w:p w14:paraId="1D988DB7" w14:textId="77777777" w:rsidR="00C90076" w:rsidRPr="00400A7E" w:rsidRDefault="00EB08C0" w:rsidP="00C90076">
            <w:pPr>
              <w:pStyle w:val="Paragraphedeliste"/>
              <w:numPr>
                <w:ilvl w:val="0"/>
                <w:numId w:val="13"/>
              </w:numPr>
            </w:pPr>
            <w:r>
              <w:t>Autre facteur</w:t>
            </w:r>
            <w:r w:rsidR="00C90076">
              <w:t xml:space="preserve"> d’évaluation</w:t>
            </w:r>
          </w:p>
        </w:tc>
        <w:tc>
          <w:tcPr>
            <w:tcW w:w="931" w:type="dxa"/>
            <w:vAlign w:val="center"/>
          </w:tcPr>
          <w:p w14:paraId="00816CF7" w14:textId="77777777" w:rsidR="00C90076" w:rsidRPr="00400A7E" w:rsidRDefault="00C90076" w:rsidP="008277CC">
            <w:pPr>
              <w:jc w:val="center"/>
            </w:pPr>
            <w:r w:rsidRPr="00400A7E">
              <w:t>/5</w:t>
            </w:r>
          </w:p>
        </w:tc>
        <w:tc>
          <w:tcPr>
            <w:tcW w:w="1406" w:type="dxa"/>
            <w:vAlign w:val="center"/>
          </w:tcPr>
          <w:p w14:paraId="003DFE26" w14:textId="77777777" w:rsidR="00C90076" w:rsidRPr="00400A7E" w:rsidRDefault="00C90076" w:rsidP="008277CC">
            <w:pPr>
              <w:jc w:val="center"/>
            </w:pPr>
            <w:r>
              <w:t>6</w:t>
            </w:r>
          </w:p>
        </w:tc>
        <w:tc>
          <w:tcPr>
            <w:tcW w:w="1311" w:type="dxa"/>
            <w:vAlign w:val="center"/>
          </w:tcPr>
          <w:p w14:paraId="654BB70B" w14:textId="77777777" w:rsidR="00C90076" w:rsidRPr="00400A7E" w:rsidRDefault="00C90076" w:rsidP="00C90076">
            <w:pPr>
              <w:jc w:val="center"/>
            </w:pPr>
            <w:r w:rsidRPr="00400A7E">
              <w:t>/</w:t>
            </w:r>
            <w:r>
              <w:t>3</w:t>
            </w:r>
            <w:r w:rsidRPr="00400A7E">
              <w:t>0</w:t>
            </w:r>
          </w:p>
        </w:tc>
      </w:tr>
      <w:tr w:rsidR="00C90076" w:rsidRPr="00400A7E" w14:paraId="59225617" w14:textId="77777777" w:rsidTr="008277CC">
        <w:trPr>
          <w:trHeight w:val="567"/>
        </w:trPr>
        <w:tc>
          <w:tcPr>
            <w:tcW w:w="5703" w:type="dxa"/>
            <w:vAlign w:val="center"/>
          </w:tcPr>
          <w:p w14:paraId="11524946" w14:textId="77777777" w:rsidR="00C90076" w:rsidRPr="00400A7E" w:rsidRDefault="00674582" w:rsidP="008277CC">
            <w:r>
              <w:t>N</w:t>
            </w:r>
            <w:r w:rsidR="00C90076" w:rsidRPr="00400A7E">
              <w:t>ote globale</w:t>
            </w:r>
          </w:p>
        </w:tc>
        <w:tc>
          <w:tcPr>
            <w:tcW w:w="931" w:type="dxa"/>
            <w:vAlign w:val="center"/>
          </w:tcPr>
          <w:p w14:paraId="1CD1B4C9" w14:textId="77777777" w:rsidR="00C90076" w:rsidRPr="00400A7E" w:rsidRDefault="00C90076" w:rsidP="008277CC">
            <w:pPr>
              <w:jc w:val="center"/>
            </w:pPr>
          </w:p>
        </w:tc>
        <w:tc>
          <w:tcPr>
            <w:tcW w:w="1406" w:type="dxa"/>
            <w:vAlign w:val="center"/>
          </w:tcPr>
          <w:p w14:paraId="341138E5" w14:textId="77777777" w:rsidR="00C90076" w:rsidRPr="00400A7E" w:rsidRDefault="00FA6CAA" w:rsidP="008277CC">
            <w:pPr>
              <w:jc w:val="center"/>
            </w:pPr>
            <w:r w:rsidRPr="00FA6CAA">
              <w:rPr>
                <w:b/>
              </w:rPr>
              <w:t>∑</w:t>
            </w:r>
            <w:r>
              <w:t>20</w:t>
            </w:r>
          </w:p>
        </w:tc>
        <w:tc>
          <w:tcPr>
            <w:tcW w:w="1311" w:type="dxa"/>
            <w:vAlign w:val="center"/>
          </w:tcPr>
          <w:p w14:paraId="13C073AC" w14:textId="77777777" w:rsidR="00C90076" w:rsidRPr="00400A7E" w:rsidRDefault="00C90076" w:rsidP="008277CC">
            <w:pPr>
              <w:jc w:val="center"/>
            </w:pPr>
            <w:r w:rsidRPr="00400A7E">
              <w:t>/100</w:t>
            </w:r>
          </w:p>
        </w:tc>
      </w:tr>
    </w:tbl>
    <w:p w14:paraId="154D8A92" w14:textId="77777777" w:rsidR="00695D2B" w:rsidRDefault="00695D2B" w:rsidP="00A82297">
      <w:pPr>
        <w:spacing w:after="120"/>
        <w:jc w:val="both"/>
        <w:rPr>
          <w:b/>
          <w:i/>
        </w:rPr>
      </w:pPr>
    </w:p>
    <w:p w14:paraId="5AC9D130" w14:textId="77777777" w:rsidR="00400A7E" w:rsidRDefault="00400A7E" w:rsidP="00A82297">
      <w:pPr>
        <w:spacing w:after="120"/>
        <w:jc w:val="both"/>
        <w:rPr>
          <w:b/>
          <w:i/>
        </w:rPr>
      </w:pPr>
      <w:r w:rsidRPr="00400A7E">
        <w:rPr>
          <w:b/>
          <w:i/>
        </w:rPr>
        <w:lastRenderedPageBreak/>
        <w:t xml:space="preserve">Le prestataire de services se verra accorder une note sur 5 points pour chacun des critères dans le cadre du contrat selon le barème présenté ci-dessous. </w:t>
      </w:r>
      <w:r w:rsidR="00F71C37">
        <w:rPr>
          <w:b/>
          <w:i/>
        </w:rPr>
        <w:t xml:space="preserve">Le pointage doit être un chiffre entier et ne comporter aucune décimale. </w:t>
      </w:r>
      <w:r w:rsidRPr="00400A7E">
        <w:rPr>
          <w:b/>
          <w:i/>
        </w:rPr>
        <w:t>Les notes seront pondérées et la somme de ces notes sera convertie en pourcentage ce qui déterminera la note globale. Une note de 60 % correspond à un niveau «</w:t>
      </w:r>
      <w:r w:rsidR="00060512">
        <w:rPr>
          <w:b/>
          <w:i/>
        </w:rPr>
        <w:t> </w:t>
      </w:r>
      <w:r w:rsidRPr="00400A7E">
        <w:rPr>
          <w:b/>
          <w:i/>
        </w:rPr>
        <w:t>satisfaisant</w:t>
      </w:r>
      <w:r w:rsidR="00060512">
        <w:rPr>
          <w:b/>
          <w:i/>
        </w:rPr>
        <w:t> </w:t>
      </w:r>
      <w:r w:rsidRPr="00400A7E">
        <w:rPr>
          <w:b/>
          <w:i/>
        </w:rPr>
        <w:t>».</w:t>
      </w:r>
      <w:r w:rsidR="00F71C37">
        <w:rPr>
          <w:b/>
          <w:i/>
        </w:rPr>
        <w:t xml:space="preserve"> </w:t>
      </w:r>
    </w:p>
    <w:tbl>
      <w:tblPr>
        <w:tblStyle w:val="Grilledutableau"/>
        <w:tblW w:w="9351" w:type="dxa"/>
        <w:tblLook w:val="04A0" w:firstRow="1" w:lastRow="0" w:firstColumn="1" w:lastColumn="0" w:noHBand="0" w:noVBand="1"/>
      </w:tblPr>
      <w:tblGrid>
        <w:gridCol w:w="8359"/>
        <w:gridCol w:w="992"/>
      </w:tblGrid>
      <w:tr w:rsidR="00B529B9" w:rsidRPr="00400A7E" w14:paraId="67A0745C" w14:textId="77777777" w:rsidTr="00B529B9">
        <w:trPr>
          <w:trHeight w:val="680"/>
        </w:trPr>
        <w:tc>
          <w:tcPr>
            <w:tcW w:w="8359" w:type="dxa"/>
            <w:vAlign w:val="center"/>
          </w:tcPr>
          <w:p w14:paraId="0B6B0997" w14:textId="77777777" w:rsidR="00B529B9" w:rsidRPr="00400A7E" w:rsidRDefault="00B529B9">
            <w:r w:rsidRPr="00400A7E">
              <w:rPr>
                <w:b/>
              </w:rPr>
              <w:t>EXCELLENT</w:t>
            </w:r>
            <w:r w:rsidRPr="00400A7E">
              <w:t xml:space="preserve"> : cette note est accordée </w:t>
            </w:r>
            <w:r>
              <w:t xml:space="preserve">pour un facteur </w:t>
            </w:r>
            <w:r w:rsidRPr="00400A7E">
              <w:t>lorsque le prestataire de services dépasse substantiellement le niveau de qualité recherché</w:t>
            </w:r>
            <w:r>
              <w:t>.</w:t>
            </w:r>
          </w:p>
        </w:tc>
        <w:tc>
          <w:tcPr>
            <w:tcW w:w="992" w:type="dxa"/>
            <w:vAlign w:val="center"/>
          </w:tcPr>
          <w:p w14:paraId="245B8F98" w14:textId="77777777" w:rsidR="00B529B9" w:rsidRPr="00400A7E" w:rsidRDefault="00B529B9" w:rsidP="00F22F07">
            <w:pPr>
              <w:jc w:val="center"/>
            </w:pPr>
            <w:r w:rsidRPr="00400A7E">
              <w:t>5/5</w:t>
            </w:r>
          </w:p>
        </w:tc>
      </w:tr>
      <w:tr w:rsidR="00B529B9" w:rsidRPr="00400A7E" w14:paraId="19405220" w14:textId="77777777" w:rsidTr="00B529B9">
        <w:trPr>
          <w:trHeight w:val="680"/>
        </w:trPr>
        <w:tc>
          <w:tcPr>
            <w:tcW w:w="8359" w:type="dxa"/>
            <w:vAlign w:val="center"/>
          </w:tcPr>
          <w:p w14:paraId="119CEBD4" w14:textId="77777777" w:rsidR="00B529B9" w:rsidRPr="00400A7E" w:rsidRDefault="00B529B9" w:rsidP="00490FAB">
            <w:r>
              <w:rPr>
                <w:b/>
              </w:rPr>
              <w:t>TRÈS BON</w:t>
            </w:r>
            <w:r w:rsidRPr="00400A7E">
              <w:t> : cette note est accordée</w:t>
            </w:r>
            <w:r>
              <w:t xml:space="preserve"> pour un facteur</w:t>
            </w:r>
            <w:r w:rsidRPr="00400A7E">
              <w:t xml:space="preserve"> lorsque le prestataire de services </w:t>
            </w:r>
            <w:r>
              <w:t>apporte une valeur ajoutée par rapport aux exigences du contrat.</w:t>
            </w:r>
            <w:r w:rsidRPr="00400A7E">
              <w:t xml:space="preserve"> </w:t>
            </w:r>
          </w:p>
        </w:tc>
        <w:tc>
          <w:tcPr>
            <w:tcW w:w="992" w:type="dxa"/>
            <w:vAlign w:val="center"/>
          </w:tcPr>
          <w:p w14:paraId="4C0FE7E6" w14:textId="77777777" w:rsidR="00B529B9" w:rsidRPr="00400A7E" w:rsidRDefault="00B529B9" w:rsidP="00C90076">
            <w:pPr>
              <w:jc w:val="center"/>
            </w:pPr>
            <w:r>
              <w:t>4</w:t>
            </w:r>
            <w:r w:rsidRPr="00400A7E">
              <w:t>/5</w:t>
            </w:r>
          </w:p>
        </w:tc>
      </w:tr>
      <w:tr w:rsidR="00B529B9" w:rsidRPr="00400A7E" w14:paraId="434F2C60" w14:textId="77777777" w:rsidTr="00B529B9">
        <w:trPr>
          <w:trHeight w:val="680"/>
        </w:trPr>
        <w:tc>
          <w:tcPr>
            <w:tcW w:w="8359" w:type="dxa"/>
            <w:vAlign w:val="center"/>
          </w:tcPr>
          <w:p w14:paraId="539B5ADC" w14:textId="77777777" w:rsidR="00B529B9" w:rsidRPr="00400A7E" w:rsidRDefault="00B529B9" w:rsidP="00490FAB">
            <w:r w:rsidRPr="00400A7E">
              <w:rPr>
                <w:b/>
              </w:rPr>
              <w:t>SATISFAISANT</w:t>
            </w:r>
            <w:r w:rsidRPr="00400A7E">
              <w:t> : cette note est accordée</w:t>
            </w:r>
            <w:r>
              <w:t xml:space="preserve"> pour un facteur</w:t>
            </w:r>
            <w:r w:rsidRPr="00400A7E">
              <w:t xml:space="preserve"> lorsque le prestataire de services répond en tout point </w:t>
            </w:r>
            <w:r>
              <w:t>aux exigences du contrat.</w:t>
            </w:r>
          </w:p>
        </w:tc>
        <w:tc>
          <w:tcPr>
            <w:tcW w:w="992" w:type="dxa"/>
            <w:vAlign w:val="center"/>
          </w:tcPr>
          <w:p w14:paraId="09F97D78" w14:textId="77777777" w:rsidR="00B529B9" w:rsidRPr="00400A7E" w:rsidRDefault="00B529B9" w:rsidP="00F22F07">
            <w:pPr>
              <w:jc w:val="center"/>
            </w:pPr>
            <w:r w:rsidRPr="00400A7E">
              <w:t>3/5</w:t>
            </w:r>
          </w:p>
        </w:tc>
      </w:tr>
      <w:tr w:rsidR="00B529B9" w:rsidRPr="00400A7E" w14:paraId="261A3065" w14:textId="77777777" w:rsidTr="00B529B9">
        <w:trPr>
          <w:trHeight w:val="680"/>
        </w:trPr>
        <w:tc>
          <w:tcPr>
            <w:tcW w:w="8359" w:type="dxa"/>
            <w:vAlign w:val="center"/>
          </w:tcPr>
          <w:p w14:paraId="4F66392A" w14:textId="77777777" w:rsidR="00B529B9" w:rsidRDefault="00B529B9" w:rsidP="00C90076">
            <w:r>
              <w:rPr>
                <w:b/>
              </w:rPr>
              <w:t xml:space="preserve">INSATISFAISANT : </w:t>
            </w:r>
            <w:r>
              <w:t xml:space="preserve">cette note est accordée pour un facteur lorsque le rendement du prestataire de services ne répond pas aux exigences du contrat pour ce facteur. </w:t>
            </w:r>
          </w:p>
          <w:p w14:paraId="1FABD561" w14:textId="77777777" w:rsidR="00B529B9" w:rsidRPr="00CF4754" w:rsidRDefault="00B529B9" w:rsidP="00C90076">
            <w:r>
              <w:t>Dans les cas où l’organisme public décide de consigner dans un rapport l’évaluation d’un prestataire de services dont le rendement est considéré insatisfaisant (procédure de rendement insatisfaisant), la note de zéro est accordée comme note globale pour ce contrat.</w:t>
            </w:r>
          </w:p>
        </w:tc>
        <w:tc>
          <w:tcPr>
            <w:tcW w:w="992" w:type="dxa"/>
            <w:vAlign w:val="center"/>
          </w:tcPr>
          <w:p w14:paraId="1E25AAE7" w14:textId="77777777" w:rsidR="00B529B9" w:rsidRPr="00400A7E" w:rsidRDefault="00B529B9" w:rsidP="00F22F07">
            <w:pPr>
              <w:jc w:val="center"/>
            </w:pPr>
            <w:r>
              <w:t>0/5</w:t>
            </w:r>
          </w:p>
        </w:tc>
      </w:tr>
    </w:tbl>
    <w:p w14:paraId="55BF4950" w14:textId="77777777" w:rsidR="0036194E" w:rsidRDefault="00400A7E" w:rsidP="0036194E">
      <w:pPr>
        <w:jc w:val="center"/>
        <w:rPr>
          <w:b/>
        </w:rPr>
      </w:pPr>
      <w:r w:rsidRPr="00400A7E">
        <w:br w:type="page"/>
      </w:r>
      <w:r w:rsidR="00D2228B">
        <w:rPr>
          <w:b/>
        </w:rPr>
        <w:lastRenderedPageBreak/>
        <w:t xml:space="preserve"> </w:t>
      </w:r>
    </w:p>
    <w:p w14:paraId="266C6BDD" w14:textId="77777777" w:rsidR="00F70536" w:rsidRDefault="0036194E" w:rsidP="00400A7E">
      <w:pPr>
        <w:spacing w:before="120" w:after="0"/>
        <w:jc w:val="center"/>
        <w:rPr>
          <w:b/>
        </w:rPr>
      </w:pPr>
      <w:r>
        <w:rPr>
          <w:b/>
        </w:rPr>
        <w:t xml:space="preserve">FICHE </w:t>
      </w:r>
      <w:r w:rsidR="00F71C37">
        <w:rPr>
          <w:b/>
        </w:rPr>
        <w:t xml:space="preserve">POUR L’ÉVALUATION DU FACTEUR : </w:t>
      </w:r>
      <w:commentRangeStart w:id="3"/>
      <w:r w:rsidR="006B4036">
        <w:rPr>
          <w:b/>
        </w:rPr>
        <w:t>__________</w:t>
      </w:r>
      <w:r w:rsidR="00D2228B">
        <w:rPr>
          <w:b/>
        </w:rPr>
        <w:t xml:space="preserve"> </w:t>
      </w:r>
      <w:commentRangeEnd w:id="3"/>
      <w:r w:rsidR="00252EE3">
        <w:rPr>
          <w:rStyle w:val="Marquedecommentaire"/>
        </w:rPr>
        <w:commentReference w:id="3"/>
      </w:r>
    </w:p>
    <w:p w14:paraId="2872C30C" w14:textId="77777777" w:rsidR="0036194E" w:rsidRPr="0036194E" w:rsidRDefault="0036194E" w:rsidP="0036194E">
      <w:pPr>
        <w:jc w:val="center"/>
      </w:pPr>
    </w:p>
    <w:p w14:paraId="55B15AF5" w14:textId="77777777" w:rsidR="00400A7E" w:rsidRPr="00400A7E" w:rsidRDefault="00400A7E" w:rsidP="00400A7E">
      <w:pPr>
        <w:spacing w:after="0"/>
      </w:pPr>
      <w:commentRangeStart w:id="4"/>
      <w:r w:rsidRPr="00400A7E">
        <w:t xml:space="preserve">Éléments retenus pour l’évaluation de rendement pour ce </w:t>
      </w:r>
      <w:r w:rsidR="00F71C37">
        <w:t>facteur d’évaluation</w:t>
      </w:r>
      <w:r w:rsidR="00F71C37" w:rsidRPr="00400A7E">
        <w:t> </w:t>
      </w:r>
      <w:r w:rsidRPr="00400A7E">
        <w:t>:</w:t>
      </w:r>
    </w:p>
    <w:p w14:paraId="0FFB3A4E" w14:textId="77777777" w:rsidR="00400A7E" w:rsidRPr="00400A7E" w:rsidRDefault="00400A7E" w:rsidP="00400A7E">
      <w:pPr>
        <w:spacing w:after="0"/>
      </w:pPr>
    </w:p>
    <w:p w14:paraId="33F878E3" w14:textId="77777777" w:rsidR="00400A7E" w:rsidRDefault="00400A7E" w:rsidP="00400A7E">
      <w:pPr>
        <w:spacing w:after="0"/>
      </w:pPr>
    </w:p>
    <w:commentRangeEnd w:id="4"/>
    <w:p w14:paraId="5E4258EE" w14:textId="77777777" w:rsidR="00252EE3" w:rsidRDefault="00252EE3" w:rsidP="00400A7E">
      <w:pPr>
        <w:spacing w:after="0"/>
      </w:pPr>
      <w:r>
        <w:rPr>
          <w:rStyle w:val="Marquedecommentaire"/>
        </w:rPr>
        <w:commentReference w:id="4"/>
      </w:r>
    </w:p>
    <w:p w14:paraId="325A92B4" w14:textId="77777777" w:rsidR="00252EE3" w:rsidRDefault="00252EE3" w:rsidP="00400A7E">
      <w:pPr>
        <w:spacing w:after="0"/>
      </w:pPr>
    </w:p>
    <w:p w14:paraId="57BAE0FA" w14:textId="77777777" w:rsidR="00252EE3" w:rsidRDefault="00252EE3" w:rsidP="00400A7E">
      <w:pPr>
        <w:spacing w:after="0"/>
      </w:pPr>
    </w:p>
    <w:p w14:paraId="3755ABA4" w14:textId="77777777" w:rsidR="00D2228B" w:rsidRDefault="00D2228B" w:rsidP="00400A7E">
      <w:pPr>
        <w:spacing w:after="0"/>
      </w:pPr>
    </w:p>
    <w:tbl>
      <w:tblPr>
        <w:tblStyle w:val="Grilledutableau"/>
        <w:tblW w:w="9411" w:type="dxa"/>
        <w:tblLook w:val="04A0" w:firstRow="1" w:lastRow="0" w:firstColumn="1" w:lastColumn="0" w:noHBand="0" w:noVBand="1"/>
      </w:tblPr>
      <w:tblGrid>
        <w:gridCol w:w="8617"/>
        <w:gridCol w:w="794"/>
      </w:tblGrid>
      <w:tr w:rsidR="00400A7E" w:rsidRPr="00400A7E" w14:paraId="072FB978" w14:textId="77777777" w:rsidTr="00433966">
        <w:trPr>
          <w:trHeight w:val="680"/>
        </w:trPr>
        <w:tc>
          <w:tcPr>
            <w:tcW w:w="8617" w:type="dxa"/>
            <w:vAlign w:val="center"/>
          </w:tcPr>
          <w:p w14:paraId="6CA67DBB" w14:textId="77777777" w:rsidR="00400A7E" w:rsidRPr="00400A7E" w:rsidRDefault="00400A7E" w:rsidP="00F71C37">
            <w:pPr>
              <w:rPr>
                <w:b/>
              </w:rPr>
            </w:pPr>
            <w:r w:rsidRPr="00400A7E">
              <w:rPr>
                <w:b/>
              </w:rPr>
              <w:t xml:space="preserve">NOTE ACCORDÉE POUR CE </w:t>
            </w:r>
            <w:r w:rsidR="00F71C37">
              <w:rPr>
                <w:b/>
              </w:rPr>
              <w:t>FACTEUR D’ÉVALUATION</w:t>
            </w:r>
            <w:r w:rsidR="00F71C37" w:rsidRPr="00400A7E">
              <w:rPr>
                <w:b/>
              </w:rPr>
              <w:t> </w:t>
            </w:r>
            <w:r w:rsidRPr="00400A7E">
              <w:rPr>
                <w:b/>
              </w:rPr>
              <w:t>:</w:t>
            </w:r>
          </w:p>
        </w:tc>
        <w:tc>
          <w:tcPr>
            <w:tcW w:w="794" w:type="dxa"/>
            <w:vAlign w:val="center"/>
          </w:tcPr>
          <w:p w14:paraId="4A324FE4" w14:textId="77777777" w:rsidR="00400A7E" w:rsidRPr="00400A7E" w:rsidRDefault="00400A7E" w:rsidP="00433966">
            <w:pPr>
              <w:jc w:val="center"/>
            </w:pPr>
            <w:r w:rsidRPr="00400A7E">
              <w:t>/5</w:t>
            </w:r>
          </w:p>
        </w:tc>
      </w:tr>
    </w:tbl>
    <w:p w14:paraId="4CEAE9B0" w14:textId="77777777" w:rsidR="00400A7E" w:rsidRPr="00400A7E" w:rsidRDefault="00400A7E" w:rsidP="00400A7E">
      <w:pPr>
        <w:spacing w:after="0"/>
      </w:pPr>
    </w:p>
    <w:tbl>
      <w:tblPr>
        <w:tblStyle w:val="Grilledutableau"/>
        <w:tblW w:w="9411" w:type="dxa"/>
        <w:tblLook w:val="04A0" w:firstRow="1" w:lastRow="0" w:firstColumn="1" w:lastColumn="0" w:noHBand="0" w:noVBand="1"/>
      </w:tblPr>
      <w:tblGrid>
        <w:gridCol w:w="9411"/>
      </w:tblGrid>
      <w:tr w:rsidR="00400A7E" w:rsidRPr="00400A7E" w14:paraId="43ED1E90" w14:textId="77777777" w:rsidTr="00433966">
        <w:tc>
          <w:tcPr>
            <w:tcW w:w="9411" w:type="dxa"/>
          </w:tcPr>
          <w:p w14:paraId="6B13EE82" w14:textId="77777777" w:rsidR="00400A7E" w:rsidRPr="00400A7E" w:rsidRDefault="00400A7E" w:rsidP="00433966">
            <w:pPr>
              <w:rPr>
                <w:b/>
              </w:rPr>
            </w:pPr>
            <w:r w:rsidRPr="00400A7E">
              <w:rPr>
                <w:b/>
              </w:rPr>
              <w:t>Commentaires et documentation :</w:t>
            </w:r>
          </w:p>
          <w:p w14:paraId="76B1EECE" w14:textId="77777777" w:rsidR="00400A7E" w:rsidRPr="00400A7E" w:rsidRDefault="00400A7E" w:rsidP="00433966"/>
          <w:p w14:paraId="23233F29" w14:textId="77777777" w:rsidR="00400A7E" w:rsidRPr="00400A7E" w:rsidRDefault="00400A7E" w:rsidP="00433966">
            <w:r w:rsidRPr="00400A7E">
              <w:rPr>
                <w:b/>
                <w:i/>
              </w:rPr>
              <w:t>L’organisme public doit préciser les éléments factuels et objectifs qui s</w:t>
            </w:r>
            <w:r w:rsidR="00A14274">
              <w:rPr>
                <w:b/>
                <w:i/>
              </w:rPr>
              <w:t>outiennent</w:t>
            </w:r>
            <w:r w:rsidRPr="00400A7E">
              <w:rPr>
                <w:b/>
                <w:i/>
              </w:rPr>
              <w:t xml:space="preserve"> cette évaluation, notamment en ce qui concerne le niveau de qualité obtenu.</w:t>
            </w:r>
          </w:p>
          <w:p w14:paraId="1A3AD825" w14:textId="77777777" w:rsidR="00400A7E" w:rsidRPr="00400A7E" w:rsidRDefault="00400A7E" w:rsidP="00433966"/>
          <w:p w14:paraId="5E82CB85" w14:textId="77777777" w:rsidR="00400A7E" w:rsidRPr="00400A7E" w:rsidRDefault="00400A7E" w:rsidP="00433966"/>
          <w:p w14:paraId="5AC6A37A" w14:textId="77777777" w:rsidR="00400A7E" w:rsidRPr="00400A7E" w:rsidRDefault="00400A7E" w:rsidP="00433966"/>
          <w:p w14:paraId="117A6A52" w14:textId="77777777" w:rsidR="00400A7E" w:rsidRPr="00400A7E" w:rsidRDefault="00400A7E" w:rsidP="00433966"/>
          <w:p w14:paraId="204D8DF4" w14:textId="77777777" w:rsidR="00400A7E" w:rsidRPr="00400A7E" w:rsidRDefault="00400A7E" w:rsidP="00433966"/>
          <w:p w14:paraId="5A4B8C07" w14:textId="77777777" w:rsidR="00400A7E" w:rsidRPr="00400A7E" w:rsidRDefault="00400A7E" w:rsidP="00433966"/>
          <w:p w14:paraId="1F47BFD6" w14:textId="77777777" w:rsidR="00400A7E" w:rsidRPr="00400A7E" w:rsidRDefault="00400A7E" w:rsidP="00433966"/>
          <w:p w14:paraId="1E973FAC" w14:textId="77777777" w:rsidR="00400A7E" w:rsidRPr="00400A7E" w:rsidRDefault="00400A7E" w:rsidP="00433966"/>
          <w:p w14:paraId="2B72758A" w14:textId="77777777" w:rsidR="00400A7E" w:rsidRPr="00400A7E" w:rsidRDefault="00400A7E" w:rsidP="00433966"/>
          <w:p w14:paraId="6113F09E" w14:textId="77777777" w:rsidR="00400A7E" w:rsidRPr="00400A7E" w:rsidRDefault="00400A7E" w:rsidP="00433966"/>
          <w:p w14:paraId="5502D429" w14:textId="77777777" w:rsidR="00400A7E" w:rsidRPr="00400A7E" w:rsidRDefault="00400A7E" w:rsidP="00433966"/>
          <w:p w14:paraId="6891FEE9" w14:textId="77777777" w:rsidR="00400A7E" w:rsidRPr="00400A7E" w:rsidRDefault="00400A7E" w:rsidP="00433966"/>
        </w:tc>
      </w:tr>
    </w:tbl>
    <w:p w14:paraId="7ABA660E" w14:textId="77777777" w:rsidR="00D2228B" w:rsidRDefault="00D2228B" w:rsidP="00400A7E">
      <w:pPr>
        <w:spacing w:after="0"/>
      </w:pPr>
    </w:p>
    <w:p w14:paraId="5BEA2EEE" w14:textId="77777777" w:rsidR="00D2228B" w:rsidRDefault="00D2228B" w:rsidP="00400A7E">
      <w:pPr>
        <w:spacing w:after="0"/>
      </w:pPr>
    </w:p>
    <w:p w14:paraId="42174670" w14:textId="77777777" w:rsidR="00D2228B" w:rsidRDefault="00D2228B" w:rsidP="00400A7E">
      <w:pPr>
        <w:spacing w:after="0"/>
      </w:pPr>
    </w:p>
    <w:p w14:paraId="11F618B2" w14:textId="77777777" w:rsidR="00D2228B" w:rsidRDefault="00D2228B" w:rsidP="00400A7E">
      <w:pPr>
        <w:spacing w:after="0"/>
      </w:pPr>
    </w:p>
    <w:p w14:paraId="291E2E9F" w14:textId="77777777" w:rsidR="00277FC5" w:rsidRDefault="00277FC5" w:rsidP="00400A7E">
      <w:pPr>
        <w:spacing w:after="0"/>
      </w:pPr>
    </w:p>
    <w:p w14:paraId="05EF47F5" w14:textId="77777777" w:rsidR="00277FC5" w:rsidRDefault="00277FC5" w:rsidP="00400A7E">
      <w:pPr>
        <w:spacing w:after="0"/>
      </w:pPr>
    </w:p>
    <w:p w14:paraId="47A82C57" w14:textId="77777777" w:rsidR="00277FC5" w:rsidRDefault="00277FC5" w:rsidP="00400A7E">
      <w:pPr>
        <w:spacing w:after="0"/>
      </w:pPr>
    </w:p>
    <w:p w14:paraId="19B9D123" w14:textId="77777777" w:rsidR="00D2228B" w:rsidRDefault="00D2228B" w:rsidP="00400A7E">
      <w:pPr>
        <w:spacing w:after="0"/>
      </w:pPr>
    </w:p>
    <w:p w14:paraId="0898E2CA" w14:textId="77777777" w:rsidR="00A82297" w:rsidRDefault="00A82297" w:rsidP="00A82297">
      <w:pPr>
        <w:spacing w:before="120" w:after="0"/>
        <w:jc w:val="center"/>
        <w:rPr>
          <w:b/>
          <w:sz w:val="28"/>
          <w:szCs w:val="28"/>
        </w:rPr>
      </w:pPr>
    </w:p>
    <w:sectPr w:rsidR="00A82297" w:rsidSect="00144459">
      <w:headerReference w:type="default" r:id="rId10"/>
      <w:footerReference w:type="default" r:id="rId11"/>
      <w:pgSz w:w="12240" w:h="20160" w:code="5"/>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ie-Michèle Boudrias" w:date="2017-05-12T16:20:00Z" w:initials="MB">
    <w:p w14:paraId="2FBEE7ED" w14:textId="77777777" w:rsidR="001F6F43" w:rsidRDefault="001F6F43">
      <w:pPr>
        <w:pStyle w:val="Commentaire"/>
      </w:pPr>
      <w:r>
        <w:rPr>
          <w:rStyle w:val="Marquedecommentaire"/>
        </w:rPr>
        <w:annotationRef/>
      </w:r>
      <w:r>
        <w:t xml:space="preserve">À JOINDRE </w:t>
      </w:r>
      <w:r w:rsidR="00695D2B">
        <w:t>en annexe dans le contrat – service TI seulement.</w:t>
      </w:r>
    </w:p>
  </w:comment>
  <w:comment w:id="2" w:author="Marie-Michèle Boudrias" w:date="2017-05-12T16:18:00Z" w:initials="MB">
    <w:p w14:paraId="49D433A8" w14:textId="77777777" w:rsidR="001F6F43" w:rsidRDefault="001F6F43" w:rsidP="001F6F43">
      <w:pPr>
        <w:spacing w:before="120" w:after="0"/>
        <w:jc w:val="both"/>
        <w:rPr>
          <w:b/>
          <w:i/>
        </w:rPr>
      </w:pPr>
      <w:r>
        <w:rPr>
          <w:rStyle w:val="Marquedecommentaire"/>
        </w:rPr>
        <w:annotationRef/>
      </w:r>
      <w:r>
        <w:rPr>
          <w:b/>
          <w:i/>
        </w:rPr>
        <w:t>La pondération des facteurs pourrait être différente d’un contrat à un autre. La somme des cotes de la pondération doit égaler 20.</w:t>
      </w:r>
    </w:p>
    <w:p w14:paraId="6CCE9596" w14:textId="77777777" w:rsidR="001F6F43" w:rsidRDefault="001F6F43" w:rsidP="001F6F43">
      <w:pPr>
        <w:spacing w:before="120" w:after="0"/>
        <w:jc w:val="both"/>
        <w:rPr>
          <w:b/>
          <w:i/>
        </w:rPr>
      </w:pPr>
    </w:p>
    <w:p w14:paraId="4C4D885D" w14:textId="77777777" w:rsidR="001F6F43" w:rsidRPr="00400A7E" w:rsidRDefault="001F6F43" w:rsidP="001F6F43">
      <w:pPr>
        <w:spacing w:before="120" w:after="0"/>
        <w:jc w:val="both"/>
        <w:rPr>
          <w:b/>
          <w:i/>
        </w:rPr>
      </w:pPr>
      <w:r>
        <w:rPr>
          <w:b/>
          <w:i/>
        </w:rPr>
        <w:t xml:space="preserve">Uniquement conserver les facteurs </w:t>
      </w:r>
      <w:r w:rsidR="00695D2B">
        <w:rPr>
          <w:b/>
          <w:i/>
        </w:rPr>
        <w:t>retenus pour les fins du contrat</w:t>
      </w:r>
    </w:p>
    <w:p w14:paraId="55752EC7" w14:textId="77777777" w:rsidR="001F6F43" w:rsidRDefault="001F6F43">
      <w:pPr>
        <w:pStyle w:val="Commentaire"/>
      </w:pPr>
    </w:p>
  </w:comment>
  <w:comment w:id="3" w:author="Marie-Michèle Boudrias" w:date="2017-05-12T16:29:00Z" w:initials="MB">
    <w:p w14:paraId="0B905DB7" w14:textId="77777777" w:rsidR="00252EE3" w:rsidRDefault="00252EE3">
      <w:pPr>
        <w:pStyle w:val="Commentaire"/>
      </w:pPr>
      <w:r>
        <w:rPr>
          <w:rStyle w:val="Marquedecommentaire"/>
        </w:rPr>
        <w:annotationRef/>
      </w:r>
      <w:r>
        <w:t>À compléter</w:t>
      </w:r>
    </w:p>
    <w:p w14:paraId="3C67EBA7" w14:textId="77777777" w:rsidR="00222BF8" w:rsidRDefault="00222BF8">
      <w:pPr>
        <w:pStyle w:val="Commentaire"/>
      </w:pPr>
    </w:p>
    <w:p w14:paraId="79C84C04" w14:textId="77777777" w:rsidR="00222BF8" w:rsidRDefault="00222BF8">
      <w:pPr>
        <w:pStyle w:val="Commentaire"/>
      </w:pPr>
      <w:r>
        <w:t>Copier cette fiche minimalement 3 fois de manière à définir chacun des facteurs d’évaluation retenus – Q22 plan d’approvisionnement.</w:t>
      </w:r>
    </w:p>
  </w:comment>
  <w:comment w:id="4" w:author="Marie-Michèle Boudrias" w:date="2017-05-12T16:29:00Z" w:initials="MB">
    <w:p w14:paraId="14193A4E" w14:textId="77777777" w:rsidR="00252EE3" w:rsidRDefault="00252EE3">
      <w:pPr>
        <w:pStyle w:val="Commentaire"/>
      </w:pPr>
      <w:r>
        <w:rPr>
          <w:rStyle w:val="Marquedecommentaire"/>
        </w:rPr>
        <w:annotationRef/>
      </w:r>
      <w:r>
        <w:t>À compléter avec les informations de la réponse à la question 22.1 du plan d’approvisionnement.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BEE7ED" w15:done="0"/>
  <w15:commentEx w15:paraId="55752EC7" w15:done="0"/>
  <w15:commentEx w15:paraId="79C84C04" w15:done="0"/>
  <w15:commentEx w15:paraId="14193A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69222" w14:textId="77777777" w:rsidR="005819FC" w:rsidRDefault="005819FC" w:rsidP="002375C7">
      <w:pPr>
        <w:spacing w:after="0" w:line="240" w:lineRule="auto"/>
      </w:pPr>
      <w:r>
        <w:separator/>
      </w:r>
    </w:p>
  </w:endnote>
  <w:endnote w:type="continuationSeparator" w:id="0">
    <w:p w14:paraId="0822978C" w14:textId="77777777" w:rsidR="005819FC" w:rsidRDefault="005819FC" w:rsidP="0023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543"/>
      <w:docPartObj>
        <w:docPartGallery w:val="Page Numbers (Bottom of Page)"/>
        <w:docPartUnique/>
      </w:docPartObj>
    </w:sdtPr>
    <w:sdtEndPr/>
    <w:sdtContent>
      <w:p w14:paraId="31316501" w14:textId="77777777" w:rsidR="00B00551" w:rsidRDefault="00D6130B">
        <w:pPr>
          <w:pStyle w:val="Pieddepage"/>
          <w:jc w:val="right"/>
        </w:pPr>
        <w:r>
          <w:fldChar w:fldCharType="begin"/>
        </w:r>
        <w:r>
          <w:instrText>PAGE   \* MERGEFORMAT</w:instrText>
        </w:r>
        <w:r>
          <w:fldChar w:fldCharType="separate"/>
        </w:r>
        <w:r w:rsidR="000042F4" w:rsidRPr="000042F4">
          <w:rPr>
            <w:noProof/>
            <w:lang w:val="fr-FR"/>
          </w:rPr>
          <w:t>1</w:t>
        </w:r>
        <w:r>
          <w:fldChar w:fldCharType="end"/>
        </w:r>
      </w:p>
    </w:sdtContent>
  </w:sdt>
  <w:p w14:paraId="4EFC987A" w14:textId="77777777" w:rsidR="00B00551" w:rsidRDefault="000042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53ADF" w14:textId="77777777" w:rsidR="005819FC" w:rsidRDefault="005819FC" w:rsidP="002375C7">
      <w:pPr>
        <w:spacing w:after="0" w:line="240" w:lineRule="auto"/>
      </w:pPr>
      <w:r>
        <w:separator/>
      </w:r>
    </w:p>
  </w:footnote>
  <w:footnote w:type="continuationSeparator" w:id="0">
    <w:p w14:paraId="14C02DF0" w14:textId="77777777" w:rsidR="005819FC" w:rsidRDefault="005819FC" w:rsidP="00237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A897E" w14:textId="77777777" w:rsidR="0012334C" w:rsidRDefault="0012334C" w:rsidP="00B00551">
    <w:pPr>
      <w:pStyle w:val="En-tte"/>
      <w:jc w:val="center"/>
      <w:rPr>
        <w:rFonts w:asciiTheme="majorHAnsi" w:hAnsiTheme="majorHAnsi"/>
        <w:sz w:val="20"/>
        <w:szCs w:val="20"/>
      </w:rPr>
    </w:pPr>
  </w:p>
  <w:p w14:paraId="19B96784" w14:textId="77777777" w:rsidR="00CA695D" w:rsidRPr="00FA6CAA" w:rsidRDefault="001F6F43" w:rsidP="00B00551">
    <w:pPr>
      <w:pStyle w:val="En-tte"/>
      <w:jc w:val="center"/>
      <w:rPr>
        <w:rFonts w:asciiTheme="majorHAnsi" w:hAnsiTheme="majorHAnsi"/>
        <w:b/>
        <w:sz w:val="28"/>
        <w:szCs w:val="28"/>
      </w:rPr>
    </w:pPr>
    <w:r>
      <w:rPr>
        <w:rFonts w:asciiTheme="majorHAnsi" w:hAnsiTheme="majorHAnsi"/>
        <w:b/>
        <w:sz w:val="28"/>
        <w:szCs w:val="28"/>
      </w:rPr>
      <w:t xml:space="preserve">Annexe ___ </w:t>
    </w:r>
    <w:r w:rsidR="00D6130B" w:rsidRPr="00FA6CAA">
      <w:rPr>
        <w:rFonts w:asciiTheme="majorHAnsi" w:hAnsiTheme="majorHAnsi"/>
        <w:b/>
        <w:sz w:val="28"/>
        <w:szCs w:val="28"/>
      </w:rPr>
      <w:t xml:space="preserve">GRILLE </w:t>
    </w:r>
    <w:r w:rsidR="0036194E">
      <w:rPr>
        <w:rFonts w:asciiTheme="majorHAnsi" w:hAnsiTheme="majorHAnsi"/>
        <w:b/>
        <w:sz w:val="28"/>
        <w:szCs w:val="28"/>
      </w:rPr>
      <w:t xml:space="preserve">ET DE FICHE </w:t>
    </w:r>
    <w:r w:rsidR="00D6130B" w:rsidRPr="00FA6CAA">
      <w:rPr>
        <w:rFonts w:asciiTheme="majorHAnsi" w:hAnsiTheme="majorHAnsi"/>
        <w:b/>
        <w:sz w:val="28"/>
        <w:szCs w:val="28"/>
      </w:rPr>
      <w:t>D’ÉVALUATION</w:t>
    </w:r>
    <w:r w:rsidR="00DD36DD" w:rsidRPr="00FA6CAA">
      <w:rPr>
        <w:rFonts w:asciiTheme="majorHAnsi" w:hAnsiTheme="majorHAnsi"/>
        <w:b/>
        <w:sz w:val="28"/>
        <w:szCs w:val="28"/>
      </w:rPr>
      <w:t xml:space="preserve"> </w:t>
    </w:r>
    <w:r w:rsidR="00D6130B" w:rsidRPr="00FA6CAA">
      <w:rPr>
        <w:rFonts w:asciiTheme="majorHAnsi" w:hAnsiTheme="majorHAnsi"/>
        <w:b/>
        <w:sz w:val="28"/>
        <w:szCs w:val="28"/>
      </w:rPr>
      <w:t>DE RENDEMENT</w:t>
    </w:r>
    <w:r>
      <w:rPr>
        <w:rFonts w:asciiTheme="majorHAnsi" w:hAnsiTheme="majorHAnsi"/>
        <w:b/>
        <w:sz w:val="28"/>
        <w:szCs w:val="28"/>
      </w:rPr>
      <w:t xml:space="preserve"> POUR UN</w:t>
    </w:r>
  </w:p>
  <w:p w14:paraId="78C4E407" w14:textId="77777777" w:rsidR="00B00551" w:rsidRPr="00FA6CAA" w:rsidRDefault="00D6130B" w:rsidP="00B00551">
    <w:pPr>
      <w:pStyle w:val="En-tte"/>
      <w:jc w:val="center"/>
      <w:rPr>
        <w:rFonts w:asciiTheme="majorHAnsi" w:hAnsiTheme="majorHAnsi"/>
        <w:b/>
        <w:sz w:val="28"/>
        <w:szCs w:val="28"/>
      </w:rPr>
    </w:pPr>
    <w:r w:rsidRPr="00FA6CAA">
      <w:rPr>
        <w:rFonts w:asciiTheme="majorHAnsi" w:hAnsiTheme="majorHAnsi"/>
        <w:b/>
        <w:sz w:val="28"/>
        <w:szCs w:val="28"/>
      </w:rPr>
      <w:t>CONTRAT DE SERVICES PROFESSIONNELS EN TECHNOLOGIES DE L’INFORMATION</w:t>
    </w:r>
  </w:p>
  <w:p w14:paraId="346CDFC6" w14:textId="77777777" w:rsidR="00B00551" w:rsidRDefault="000042F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12FB"/>
    <w:multiLevelType w:val="hybridMultilevel"/>
    <w:tmpl w:val="CE7892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F9211B"/>
    <w:multiLevelType w:val="hybridMultilevel"/>
    <w:tmpl w:val="97AE71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3380263"/>
    <w:multiLevelType w:val="hybridMultilevel"/>
    <w:tmpl w:val="8730DD60"/>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37E7DE9"/>
    <w:multiLevelType w:val="hybridMultilevel"/>
    <w:tmpl w:val="4DB46C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7FF41B5"/>
    <w:multiLevelType w:val="hybridMultilevel"/>
    <w:tmpl w:val="7908AA96"/>
    <w:lvl w:ilvl="0" w:tplc="0C0C0011">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86C7F27"/>
    <w:multiLevelType w:val="hybridMultilevel"/>
    <w:tmpl w:val="82768A04"/>
    <w:lvl w:ilvl="0" w:tplc="F98AD8D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AA4217C"/>
    <w:multiLevelType w:val="hybridMultilevel"/>
    <w:tmpl w:val="7908AA96"/>
    <w:lvl w:ilvl="0" w:tplc="0C0C0011">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D821D2E"/>
    <w:multiLevelType w:val="hybridMultilevel"/>
    <w:tmpl w:val="85CA2AD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35C183D"/>
    <w:multiLevelType w:val="hybridMultilevel"/>
    <w:tmpl w:val="296EAA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36B5406"/>
    <w:multiLevelType w:val="hybridMultilevel"/>
    <w:tmpl w:val="582C17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5094ACB"/>
    <w:multiLevelType w:val="hybridMultilevel"/>
    <w:tmpl w:val="84CC00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600596D"/>
    <w:multiLevelType w:val="hybridMultilevel"/>
    <w:tmpl w:val="C2C8E7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45C4438"/>
    <w:multiLevelType w:val="hybridMultilevel"/>
    <w:tmpl w:val="C0CA7C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39F3C00"/>
    <w:multiLevelType w:val="hybridMultilevel"/>
    <w:tmpl w:val="7908AA96"/>
    <w:lvl w:ilvl="0" w:tplc="0C0C0011">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EDC4FD6"/>
    <w:multiLevelType w:val="hybridMultilevel"/>
    <w:tmpl w:val="C29EB24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F334785"/>
    <w:multiLevelType w:val="hybridMultilevel"/>
    <w:tmpl w:val="10C6FD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1F64694"/>
    <w:multiLevelType w:val="hybridMultilevel"/>
    <w:tmpl w:val="CBF8952A"/>
    <w:lvl w:ilvl="0" w:tplc="F65854A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2172D58"/>
    <w:multiLevelType w:val="hybridMultilevel"/>
    <w:tmpl w:val="85965C84"/>
    <w:lvl w:ilvl="0" w:tplc="83D872C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5A8033F"/>
    <w:multiLevelType w:val="hybridMultilevel"/>
    <w:tmpl w:val="85CA2AD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64505E9"/>
    <w:multiLevelType w:val="hybridMultilevel"/>
    <w:tmpl w:val="321EF3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D5F044A"/>
    <w:multiLevelType w:val="hybridMultilevel"/>
    <w:tmpl w:val="1AB62B9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4"/>
  </w:num>
  <w:num w:numId="2">
    <w:abstractNumId w:val="10"/>
  </w:num>
  <w:num w:numId="3">
    <w:abstractNumId w:val="20"/>
  </w:num>
  <w:num w:numId="4">
    <w:abstractNumId w:val="4"/>
  </w:num>
  <w:num w:numId="5">
    <w:abstractNumId w:val="8"/>
  </w:num>
  <w:num w:numId="6">
    <w:abstractNumId w:val="9"/>
  </w:num>
  <w:num w:numId="7">
    <w:abstractNumId w:val="2"/>
  </w:num>
  <w:num w:numId="8">
    <w:abstractNumId w:val="18"/>
  </w:num>
  <w:num w:numId="9">
    <w:abstractNumId w:val="3"/>
  </w:num>
  <w:num w:numId="10">
    <w:abstractNumId w:val="12"/>
  </w:num>
  <w:num w:numId="11">
    <w:abstractNumId w:val="1"/>
  </w:num>
  <w:num w:numId="12">
    <w:abstractNumId w:val="15"/>
  </w:num>
  <w:num w:numId="13">
    <w:abstractNumId w:val="7"/>
  </w:num>
  <w:num w:numId="14">
    <w:abstractNumId w:val="17"/>
  </w:num>
  <w:num w:numId="15">
    <w:abstractNumId w:val="6"/>
  </w:num>
  <w:num w:numId="16">
    <w:abstractNumId w:val="13"/>
  </w:num>
  <w:num w:numId="17">
    <w:abstractNumId w:val="0"/>
  </w:num>
  <w:num w:numId="18">
    <w:abstractNumId w:val="11"/>
  </w:num>
  <w:num w:numId="19">
    <w:abstractNumId w:val="19"/>
  </w:num>
  <w:num w:numId="20">
    <w:abstractNumId w:val="5"/>
  </w:num>
  <w:num w:numId="2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Michèle Boudrias">
    <w15:presenceInfo w15:providerId="AD" w15:userId="S-1-5-21-1123561945-152049171-725345543-37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C7"/>
    <w:rsid w:val="000042F4"/>
    <w:rsid w:val="00011668"/>
    <w:rsid w:val="000233A2"/>
    <w:rsid w:val="00035567"/>
    <w:rsid w:val="00037835"/>
    <w:rsid w:val="000412AA"/>
    <w:rsid w:val="00045C8B"/>
    <w:rsid w:val="0005455B"/>
    <w:rsid w:val="00060512"/>
    <w:rsid w:val="00064934"/>
    <w:rsid w:val="00071999"/>
    <w:rsid w:val="000B5E7D"/>
    <w:rsid w:val="000B6AC2"/>
    <w:rsid w:val="000C1294"/>
    <w:rsid w:val="000D13EE"/>
    <w:rsid w:val="0010177E"/>
    <w:rsid w:val="001103E5"/>
    <w:rsid w:val="00122E6C"/>
    <w:rsid w:val="001232AD"/>
    <w:rsid w:val="0012334C"/>
    <w:rsid w:val="00125EF8"/>
    <w:rsid w:val="0014297B"/>
    <w:rsid w:val="00142D64"/>
    <w:rsid w:val="00147F94"/>
    <w:rsid w:val="00156DF9"/>
    <w:rsid w:val="001669EC"/>
    <w:rsid w:val="00174B08"/>
    <w:rsid w:val="00174FE9"/>
    <w:rsid w:val="00175FBC"/>
    <w:rsid w:val="00185298"/>
    <w:rsid w:val="00190023"/>
    <w:rsid w:val="001A1AA0"/>
    <w:rsid w:val="001A6CB0"/>
    <w:rsid w:val="001B2323"/>
    <w:rsid w:val="001D2CF4"/>
    <w:rsid w:val="001D4B6D"/>
    <w:rsid w:val="001D59B7"/>
    <w:rsid w:val="001E6A76"/>
    <w:rsid w:val="001F407A"/>
    <w:rsid w:val="001F4EF3"/>
    <w:rsid w:val="001F6F43"/>
    <w:rsid w:val="001F7A8E"/>
    <w:rsid w:val="0020449C"/>
    <w:rsid w:val="00220EAB"/>
    <w:rsid w:val="00220F20"/>
    <w:rsid w:val="00222BF8"/>
    <w:rsid w:val="0022493F"/>
    <w:rsid w:val="0023262C"/>
    <w:rsid w:val="002375C7"/>
    <w:rsid w:val="00241747"/>
    <w:rsid w:val="00247803"/>
    <w:rsid w:val="00252EE3"/>
    <w:rsid w:val="00263DCB"/>
    <w:rsid w:val="00270E15"/>
    <w:rsid w:val="00271442"/>
    <w:rsid w:val="00272ADE"/>
    <w:rsid w:val="00277FC5"/>
    <w:rsid w:val="00280934"/>
    <w:rsid w:val="002821AC"/>
    <w:rsid w:val="00283143"/>
    <w:rsid w:val="00292726"/>
    <w:rsid w:val="00297C70"/>
    <w:rsid w:val="002B04EB"/>
    <w:rsid w:val="002E13DB"/>
    <w:rsid w:val="002F4E87"/>
    <w:rsid w:val="00313691"/>
    <w:rsid w:val="00314466"/>
    <w:rsid w:val="00317CC6"/>
    <w:rsid w:val="00342D2D"/>
    <w:rsid w:val="0036194E"/>
    <w:rsid w:val="00374EBB"/>
    <w:rsid w:val="003C6ECC"/>
    <w:rsid w:val="004004FB"/>
    <w:rsid w:val="00400A7E"/>
    <w:rsid w:val="004154C7"/>
    <w:rsid w:val="0042395D"/>
    <w:rsid w:val="00426D53"/>
    <w:rsid w:val="00427495"/>
    <w:rsid w:val="00437715"/>
    <w:rsid w:val="00457005"/>
    <w:rsid w:val="0046648B"/>
    <w:rsid w:val="0047104A"/>
    <w:rsid w:val="00471C18"/>
    <w:rsid w:val="00490FAB"/>
    <w:rsid w:val="004971BE"/>
    <w:rsid w:val="004971EE"/>
    <w:rsid w:val="004B070C"/>
    <w:rsid w:val="004B17D2"/>
    <w:rsid w:val="004B5685"/>
    <w:rsid w:val="004D077E"/>
    <w:rsid w:val="004D1EEA"/>
    <w:rsid w:val="004D35B5"/>
    <w:rsid w:val="004E4B94"/>
    <w:rsid w:val="005037F5"/>
    <w:rsid w:val="00527D2C"/>
    <w:rsid w:val="00536FAB"/>
    <w:rsid w:val="00565D24"/>
    <w:rsid w:val="00576EB0"/>
    <w:rsid w:val="005819FC"/>
    <w:rsid w:val="00585F4E"/>
    <w:rsid w:val="005E128B"/>
    <w:rsid w:val="005E13C3"/>
    <w:rsid w:val="005E7D2A"/>
    <w:rsid w:val="00607756"/>
    <w:rsid w:val="006201D1"/>
    <w:rsid w:val="006335A7"/>
    <w:rsid w:val="00667480"/>
    <w:rsid w:val="00674582"/>
    <w:rsid w:val="00681ABD"/>
    <w:rsid w:val="00694421"/>
    <w:rsid w:val="00695D2B"/>
    <w:rsid w:val="006A5373"/>
    <w:rsid w:val="006B0D66"/>
    <w:rsid w:val="006B4036"/>
    <w:rsid w:val="006C27C2"/>
    <w:rsid w:val="006E2281"/>
    <w:rsid w:val="007030CD"/>
    <w:rsid w:val="00704346"/>
    <w:rsid w:val="00707DAC"/>
    <w:rsid w:val="007362EF"/>
    <w:rsid w:val="00745BC6"/>
    <w:rsid w:val="00755DE2"/>
    <w:rsid w:val="00762B68"/>
    <w:rsid w:val="007A103B"/>
    <w:rsid w:val="007C0560"/>
    <w:rsid w:val="007C20C9"/>
    <w:rsid w:val="007C2D49"/>
    <w:rsid w:val="007C3D5C"/>
    <w:rsid w:val="007D5002"/>
    <w:rsid w:val="007D784A"/>
    <w:rsid w:val="007E2DA8"/>
    <w:rsid w:val="007E47CD"/>
    <w:rsid w:val="007F024B"/>
    <w:rsid w:val="008027E6"/>
    <w:rsid w:val="008609F6"/>
    <w:rsid w:val="008626DA"/>
    <w:rsid w:val="008714AC"/>
    <w:rsid w:val="00876E61"/>
    <w:rsid w:val="00881753"/>
    <w:rsid w:val="00881EF9"/>
    <w:rsid w:val="008915C6"/>
    <w:rsid w:val="008956F8"/>
    <w:rsid w:val="008D4B8E"/>
    <w:rsid w:val="008D6CCF"/>
    <w:rsid w:val="008E2150"/>
    <w:rsid w:val="00914944"/>
    <w:rsid w:val="00925936"/>
    <w:rsid w:val="00934445"/>
    <w:rsid w:val="009420BC"/>
    <w:rsid w:val="00974B3C"/>
    <w:rsid w:val="00975159"/>
    <w:rsid w:val="00980A5F"/>
    <w:rsid w:val="00981951"/>
    <w:rsid w:val="00997E71"/>
    <w:rsid w:val="009A133F"/>
    <w:rsid w:val="009B5997"/>
    <w:rsid w:val="009E7C5D"/>
    <w:rsid w:val="009F0ED3"/>
    <w:rsid w:val="009F3144"/>
    <w:rsid w:val="00A05E77"/>
    <w:rsid w:val="00A14274"/>
    <w:rsid w:val="00A14472"/>
    <w:rsid w:val="00A34ED7"/>
    <w:rsid w:val="00A5764E"/>
    <w:rsid w:val="00A71F05"/>
    <w:rsid w:val="00A82297"/>
    <w:rsid w:val="00A848AF"/>
    <w:rsid w:val="00AB2331"/>
    <w:rsid w:val="00AC7859"/>
    <w:rsid w:val="00AD0779"/>
    <w:rsid w:val="00AD44B2"/>
    <w:rsid w:val="00AE0A29"/>
    <w:rsid w:val="00AF2E38"/>
    <w:rsid w:val="00B00BBC"/>
    <w:rsid w:val="00B1262D"/>
    <w:rsid w:val="00B20933"/>
    <w:rsid w:val="00B27A8D"/>
    <w:rsid w:val="00B340BE"/>
    <w:rsid w:val="00B41C1E"/>
    <w:rsid w:val="00B529B9"/>
    <w:rsid w:val="00B56187"/>
    <w:rsid w:val="00B65F00"/>
    <w:rsid w:val="00B66378"/>
    <w:rsid w:val="00B81682"/>
    <w:rsid w:val="00B93CEB"/>
    <w:rsid w:val="00BA59DF"/>
    <w:rsid w:val="00BA5CB4"/>
    <w:rsid w:val="00BC3214"/>
    <w:rsid w:val="00BD67E1"/>
    <w:rsid w:val="00C4199F"/>
    <w:rsid w:val="00C50905"/>
    <w:rsid w:val="00C72F2A"/>
    <w:rsid w:val="00C90076"/>
    <w:rsid w:val="00C93A3F"/>
    <w:rsid w:val="00CA5A99"/>
    <w:rsid w:val="00CF1913"/>
    <w:rsid w:val="00CF1EEA"/>
    <w:rsid w:val="00CF4754"/>
    <w:rsid w:val="00D00973"/>
    <w:rsid w:val="00D0303B"/>
    <w:rsid w:val="00D078CE"/>
    <w:rsid w:val="00D125ED"/>
    <w:rsid w:val="00D2228B"/>
    <w:rsid w:val="00D31732"/>
    <w:rsid w:val="00D57F65"/>
    <w:rsid w:val="00D6130B"/>
    <w:rsid w:val="00D65A6A"/>
    <w:rsid w:val="00D813C4"/>
    <w:rsid w:val="00DA7E60"/>
    <w:rsid w:val="00DC51B6"/>
    <w:rsid w:val="00DD36DD"/>
    <w:rsid w:val="00DD44E1"/>
    <w:rsid w:val="00DD7C9D"/>
    <w:rsid w:val="00DE18F0"/>
    <w:rsid w:val="00DF65E0"/>
    <w:rsid w:val="00E0083D"/>
    <w:rsid w:val="00E14824"/>
    <w:rsid w:val="00E22AF5"/>
    <w:rsid w:val="00E47810"/>
    <w:rsid w:val="00E64290"/>
    <w:rsid w:val="00E768A0"/>
    <w:rsid w:val="00E76B1F"/>
    <w:rsid w:val="00E81F2D"/>
    <w:rsid w:val="00E92F85"/>
    <w:rsid w:val="00E954D7"/>
    <w:rsid w:val="00EB08C0"/>
    <w:rsid w:val="00EB6FC3"/>
    <w:rsid w:val="00EC5CBB"/>
    <w:rsid w:val="00F01639"/>
    <w:rsid w:val="00F0674B"/>
    <w:rsid w:val="00F22F07"/>
    <w:rsid w:val="00F31D9D"/>
    <w:rsid w:val="00F62250"/>
    <w:rsid w:val="00F70536"/>
    <w:rsid w:val="00F71C37"/>
    <w:rsid w:val="00F976B2"/>
    <w:rsid w:val="00FA3832"/>
    <w:rsid w:val="00FA512E"/>
    <w:rsid w:val="00FA6CAA"/>
    <w:rsid w:val="00FB2107"/>
    <w:rsid w:val="00FB4FFC"/>
    <w:rsid w:val="00FB59B3"/>
    <w:rsid w:val="00FD3999"/>
    <w:rsid w:val="00FF134A"/>
    <w:rsid w:val="00FF6B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9FB6D9"/>
  <w15:chartTrackingRefBased/>
  <w15:docId w15:val="{6C780CE5-C5C8-4905-934F-90B483CC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2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75C7"/>
    <w:pPr>
      <w:tabs>
        <w:tab w:val="center" w:pos="4703"/>
        <w:tab w:val="right" w:pos="9406"/>
      </w:tabs>
      <w:spacing w:after="0" w:line="240" w:lineRule="auto"/>
    </w:pPr>
  </w:style>
  <w:style w:type="character" w:customStyle="1" w:styleId="En-tteCar">
    <w:name w:val="En-tête Car"/>
    <w:basedOn w:val="Policepardfaut"/>
    <w:link w:val="En-tte"/>
    <w:uiPriority w:val="99"/>
    <w:rsid w:val="002375C7"/>
  </w:style>
  <w:style w:type="paragraph" w:styleId="Pieddepage">
    <w:name w:val="footer"/>
    <w:basedOn w:val="Normal"/>
    <w:link w:val="PieddepageCar"/>
    <w:uiPriority w:val="99"/>
    <w:unhideWhenUsed/>
    <w:rsid w:val="002375C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375C7"/>
  </w:style>
  <w:style w:type="paragraph" w:styleId="Paragraphedeliste">
    <w:name w:val="List Paragraph"/>
    <w:basedOn w:val="Normal"/>
    <w:uiPriority w:val="34"/>
    <w:qFormat/>
    <w:rsid w:val="006C27C2"/>
    <w:pPr>
      <w:ind w:left="720"/>
      <w:contextualSpacing/>
    </w:pPr>
  </w:style>
  <w:style w:type="paragraph" w:styleId="Textedebulles">
    <w:name w:val="Balloon Text"/>
    <w:basedOn w:val="Normal"/>
    <w:link w:val="TextedebullesCar"/>
    <w:uiPriority w:val="99"/>
    <w:semiHidden/>
    <w:unhideWhenUsed/>
    <w:rsid w:val="00B816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1682"/>
    <w:rPr>
      <w:rFonts w:ascii="Segoe UI" w:hAnsi="Segoe UI" w:cs="Segoe UI"/>
      <w:sz w:val="18"/>
      <w:szCs w:val="18"/>
    </w:rPr>
  </w:style>
  <w:style w:type="paragraph" w:styleId="Notedebasdepage">
    <w:name w:val="footnote text"/>
    <w:basedOn w:val="Normal"/>
    <w:link w:val="NotedebasdepageCar"/>
    <w:uiPriority w:val="99"/>
    <w:semiHidden/>
    <w:unhideWhenUsed/>
    <w:rsid w:val="006A537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A5373"/>
    <w:rPr>
      <w:sz w:val="20"/>
      <w:szCs w:val="20"/>
    </w:rPr>
  </w:style>
  <w:style w:type="character" w:styleId="Appelnotedebasdep">
    <w:name w:val="footnote reference"/>
    <w:basedOn w:val="Policepardfaut"/>
    <w:uiPriority w:val="99"/>
    <w:semiHidden/>
    <w:unhideWhenUsed/>
    <w:rsid w:val="006A5373"/>
    <w:rPr>
      <w:vertAlign w:val="superscript"/>
    </w:rPr>
  </w:style>
  <w:style w:type="table" w:styleId="Grilledutableau">
    <w:name w:val="Table Grid"/>
    <w:basedOn w:val="TableauNormal"/>
    <w:uiPriority w:val="39"/>
    <w:rsid w:val="00400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20933"/>
    <w:pPr>
      <w:spacing w:after="0" w:line="240" w:lineRule="auto"/>
    </w:pPr>
  </w:style>
  <w:style w:type="character" w:styleId="Marquedecommentaire">
    <w:name w:val="annotation reference"/>
    <w:basedOn w:val="Policepardfaut"/>
    <w:uiPriority w:val="99"/>
    <w:semiHidden/>
    <w:unhideWhenUsed/>
    <w:rsid w:val="00A5764E"/>
    <w:rPr>
      <w:sz w:val="16"/>
      <w:szCs w:val="16"/>
    </w:rPr>
  </w:style>
  <w:style w:type="paragraph" w:styleId="Commentaire">
    <w:name w:val="annotation text"/>
    <w:basedOn w:val="Normal"/>
    <w:link w:val="CommentaireCar"/>
    <w:uiPriority w:val="99"/>
    <w:semiHidden/>
    <w:unhideWhenUsed/>
    <w:rsid w:val="00A5764E"/>
    <w:pPr>
      <w:spacing w:line="240" w:lineRule="auto"/>
    </w:pPr>
    <w:rPr>
      <w:sz w:val="20"/>
      <w:szCs w:val="20"/>
    </w:rPr>
  </w:style>
  <w:style w:type="character" w:customStyle="1" w:styleId="CommentaireCar">
    <w:name w:val="Commentaire Car"/>
    <w:basedOn w:val="Policepardfaut"/>
    <w:link w:val="Commentaire"/>
    <w:uiPriority w:val="99"/>
    <w:semiHidden/>
    <w:rsid w:val="00A5764E"/>
    <w:rPr>
      <w:sz w:val="20"/>
      <w:szCs w:val="20"/>
    </w:rPr>
  </w:style>
  <w:style w:type="paragraph" w:styleId="Objetducommentaire">
    <w:name w:val="annotation subject"/>
    <w:basedOn w:val="Commentaire"/>
    <w:next w:val="Commentaire"/>
    <w:link w:val="ObjetducommentaireCar"/>
    <w:uiPriority w:val="99"/>
    <w:semiHidden/>
    <w:unhideWhenUsed/>
    <w:rsid w:val="00A5764E"/>
    <w:rPr>
      <w:b/>
      <w:bCs/>
    </w:rPr>
  </w:style>
  <w:style w:type="character" w:customStyle="1" w:styleId="ObjetducommentaireCar">
    <w:name w:val="Objet du commentaire Car"/>
    <w:basedOn w:val="CommentaireCar"/>
    <w:link w:val="Objetducommentaire"/>
    <w:uiPriority w:val="99"/>
    <w:semiHidden/>
    <w:rsid w:val="00A576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DBA77-9E39-461C-8C2A-3B9A801A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604</Words>
  <Characters>3327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Secrétariat du Conseil du trésor</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Oliver</dc:creator>
  <cp:keywords/>
  <dc:description/>
  <cp:lastModifiedBy>Marie-Michèle Boudrias</cp:lastModifiedBy>
  <cp:revision>2</cp:revision>
  <cp:lastPrinted>2017-02-20T21:19:00Z</cp:lastPrinted>
  <dcterms:created xsi:type="dcterms:W3CDTF">2017-05-12T20:32:00Z</dcterms:created>
  <dcterms:modified xsi:type="dcterms:W3CDTF">2017-05-12T20:32:00Z</dcterms:modified>
</cp:coreProperties>
</file>